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3F522" w14:textId="71840847" w:rsidR="006928DB" w:rsidRDefault="009F10E1" w:rsidP="006928DB">
      <w:pPr>
        <w:spacing w:before="0" w:after="360"/>
        <w:rPr>
          <w:rFonts w:ascii="Georgia" w:hAnsi="Georgia"/>
          <w:sz w:val="96"/>
          <w:szCs w:val="96"/>
        </w:rPr>
      </w:pPr>
      <w:r>
        <w:rPr>
          <w:rFonts w:ascii="Georgia" w:hAnsi="Georgia"/>
          <w:noProof/>
          <w:sz w:val="96"/>
          <w:szCs w:val="96"/>
        </w:rPr>
        <w:drawing>
          <wp:anchor distT="0" distB="0" distL="114300" distR="114300" simplePos="0" relativeHeight="251658240" behindDoc="1" locked="0" layoutInCell="1" allowOverlap="1" wp14:anchorId="15BE60B2" wp14:editId="3C946EEA">
            <wp:simplePos x="0" y="0"/>
            <wp:positionH relativeFrom="margin">
              <wp:align>center</wp:align>
            </wp:positionH>
            <wp:positionV relativeFrom="margin">
              <wp:align>center</wp:align>
            </wp:positionV>
            <wp:extent cx="10058450" cy="7772400"/>
            <wp:effectExtent l="0" t="0" r="0" b="0"/>
            <wp:wrapNone/>
            <wp:docPr id="9940301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030186" name="Picture 994030186"/>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58450" cy="7772400"/>
                    </a:xfrm>
                    <a:prstGeom prst="rect">
                      <a:avLst/>
                    </a:prstGeom>
                  </pic:spPr>
                </pic:pic>
              </a:graphicData>
            </a:graphic>
            <wp14:sizeRelH relativeFrom="margin">
              <wp14:pctWidth>0</wp14:pctWidth>
            </wp14:sizeRelH>
            <wp14:sizeRelV relativeFrom="margin">
              <wp14:pctHeight>0</wp14:pctHeight>
            </wp14:sizeRelV>
          </wp:anchor>
        </w:drawing>
      </w:r>
      <w:r w:rsidR="006928DB">
        <w:rPr>
          <w:rFonts w:ascii="Georgia" w:hAnsi="Georgia"/>
          <w:noProof/>
          <w:sz w:val="96"/>
          <w:szCs w:val="96"/>
        </w:rPr>
        <w:drawing>
          <wp:inline distT="0" distB="0" distL="0" distR="0" wp14:anchorId="0AA7BD46" wp14:editId="01ACC03A">
            <wp:extent cx="2115671" cy="650976"/>
            <wp:effectExtent l="0" t="0" r="5715" b="0"/>
            <wp:docPr id="15724861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486197" name="Picture 1572486197"/>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59694" cy="664522"/>
                    </a:xfrm>
                    <a:prstGeom prst="rect">
                      <a:avLst/>
                    </a:prstGeom>
                  </pic:spPr>
                </pic:pic>
              </a:graphicData>
            </a:graphic>
          </wp:inline>
        </w:drawing>
      </w:r>
    </w:p>
    <w:p w14:paraId="310693A3" w14:textId="25623765" w:rsidR="00667CAA" w:rsidRPr="009F10E1" w:rsidRDefault="00667CAA" w:rsidP="009F10E1">
      <w:pPr>
        <w:spacing w:before="0" w:after="240"/>
        <w:rPr>
          <w:rFonts w:ascii="Georgia" w:hAnsi="Georgia"/>
          <w:sz w:val="104"/>
          <w:szCs w:val="104"/>
        </w:rPr>
      </w:pPr>
      <w:r w:rsidRPr="009F10E1">
        <w:rPr>
          <w:rFonts w:ascii="Georgia" w:hAnsi="Georgia"/>
          <w:sz w:val="104"/>
          <w:szCs w:val="104"/>
        </w:rPr>
        <w:t xml:space="preserve">Blackboard Learn </w:t>
      </w:r>
      <w:r w:rsidR="00141818" w:rsidRPr="009F10E1">
        <w:rPr>
          <w:rFonts w:ascii="Georgia" w:hAnsi="Georgia"/>
          <w:sz w:val="104"/>
          <w:szCs w:val="104"/>
        </w:rPr>
        <w:br/>
      </w:r>
      <w:r w:rsidRPr="009F10E1">
        <w:rPr>
          <w:rFonts w:ascii="Georgia" w:hAnsi="Georgia"/>
          <w:sz w:val="104"/>
          <w:szCs w:val="104"/>
        </w:rPr>
        <w:t xml:space="preserve">Course Conversion </w:t>
      </w:r>
    </w:p>
    <w:p w14:paraId="753F327B" w14:textId="1EE5BD1B" w:rsidR="00667CAA" w:rsidRPr="00141818" w:rsidRDefault="00A4702B" w:rsidP="009F10E1">
      <w:pPr>
        <w:spacing w:after="480"/>
        <w:rPr>
          <w:sz w:val="32"/>
          <w:szCs w:val="32"/>
        </w:rPr>
      </w:pPr>
      <w:r>
        <w:rPr>
          <w:sz w:val="32"/>
          <w:szCs w:val="32"/>
        </w:rPr>
        <w:t>B</w:t>
      </w:r>
      <w:r w:rsidR="00667CAA" w:rsidRPr="00141818">
        <w:rPr>
          <w:sz w:val="32"/>
          <w:szCs w:val="32"/>
        </w:rPr>
        <w:t xml:space="preserve">efore and After Conversion Checklist </w:t>
      </w:r>
    </w:p>
    <w:p w14:paraId="775C3CD9" w14:textId="77777777" w:rsidR="00667CAA" w:rsidRDefault="00667CAA" w:rsidP="007C294F"/>
    <w:p w14:paraId="30B63BAE" w14:textId="77777777" w:rsidR="009F3C07" w:rsidRDefault="009F3C07" w:rsidP="007C294F">
      <w:pPr>
        <w:pStyle w:val="Heading1"/>
      </w:pPr>
      <w:r>
        <w:br w:type="page"/>
      </w:r>
    </w:p>
    <w:p w14:paraId="1E4450BE" w14:textId="77CDE424" w:rsidR="002D2F64" w:rsidRPr="00247DFD" w:rsidRDefault="008E404F" w:rsidP="007C294F">
      <w:pPr>
        <w:pStyle w:val="Heading1"/>
      </w:pPr>
      <w:r w:rsidRPr="00247DFD">
        <w:lastRenderedPageBreak/>
        <w:t>Before Conversion Checklist</w:t>
      </w:r>
    </w:p>
    <w:p w14:paraId="77780A27" w14:textId="77777777" w:rsidR="008E404F" w:rsidRDefault="008E404F" w:rsidP="007C294F"/>
    <w:tbl>
      <w:tblPr>
        <w:tblStyle w:val="TableGrid"/>
        <w:tblW w:w="5000" w:type="pct"/>
        <w:tblLook w:val="04A0" w:firstRow="1" w:lastRow="0" w:firstColumn="1" w:lastColumn="0" w:noHBand="0" w:noVBand="1"/>
      </w:tblPr>
      <w:tblGrid>
        <w:gridCol w:w="10361"/>
        <w:gridCol w:w="2589"/>
      </w:tblGrid>
      <w:tr w:rsidR="008E404F" w14:paraId="61E6290C" w14:textId="77777777" w:rsidTr="007C294F">
        <w:trPr>
          <w:trHeight w:val="535"/>
        </w:trPr>
        <w:tc>
          <w:tcPr>
            <w:tcW w:w="10361" w:type="dxa"/>
            <w:shd w:val="clear" w:color="auto" w:fill="000000" w:themeFill="text1"/>
          </w:tcPr>
          <w:p w14:paraId="3B6C9E7D" w14:textId="789A265B" w:rsidR="008E404F" w:rsidRPr="00141818" w:rsidRDefault="008E404F" w:rsidP="00141818">
            <w:pPr>
              <w:pStyle w:val="Heading2"/>
            </w:pPr>
            <w:r w:rsidRPr="00141818">
              <w:t>TASKS</w:t>
            </w:r>
          </w:p>
        </w:tc>
        <w:tc>
          <w:tcPr>
            <w:tcW w:w="2589" w:type="dxa"/>
            <w:shd w:val="clear" w:color="auto" w:fill="000000" w:themeFill="text1"/>
          </w:tcPr>
          <w:p w14:paraId="510903DD" w14:textId="29032E59" w:rsidR="008E404F" w:rsidRPr="008E404F" w:rsidRDefault="008E404F" w:rsidP="00141818">
            <w:pPr>
              <w:pStyle w:val="Heading2"/>
            </w:pPr>
            <w:r w:rsidRPr="008E404F">
              <w:t>STATUS</w:t>
            </w:r>
          </w:p>
        </w:tc>
      </w:tr>
      <w:tr w:rsidR="008E404F" w14:paraId="5EF80406" w14:textId="77777777" w:rsidTr="007C294F">
        <w:trPr>
          <w:trHeight w:val="442"/>
        </w:trPr>
        <w:tc>
          <w:tcPr>
            <w:tcW w:w="12950" w:type="dxa"/>
            <w:gridSpan w:val="2"/>
            <w:shd w:val="clear" w:color="auto" w:fill="A3DBDC"/>
          </w:tcPr>
          <w:p w14:paraId="3469EEB9" w14:textId="4850DD44" w:rsidR="008E404F" w:rsidRPr="007C294F" w:rsidRDefault="008E404F" w:rsidP="007C294F">
            <w:pPr>
              <w:pStyle w:val="Heading3"/>
            </w:pPr>
            <w:r w:rsidRPr="007C294F">
              <w:t>Announcements</w:t>
            </w:r>
          </w:p>
        </w:tc>
      </w:tr>
      <w:tr w:rsidR="008E404F" w14:paraId="0CCC008D" w14:textId="77777777" w:rsidTr="007C294F">
        <w:trPr>
          <w:trHeight w:val="1140"/>
        </w:trPr>
        <w:tc>
          <w:tcPr>
            <w:tcW w:w="10361" w:type="dxa"/>
          </w:tcPr>
          <w:p w14:paraId="7FE4E782" w14:textId="1ECCBBAC" w:rsidR="008E404F" w:rsidRDefault="00F80B34" w:rsidP="007C294F">
            <w:r w:rsidRPr="001402EF">
              <w:rPr>
                <w:rStyle w:val="Strong"/>
                <w:b w:val="0"/>
                <w:bCs w:val="0"/>
              </w:rPr>
              <w:t>Delete</w:t>
            </w:r>
            <w:r w:rsidR="008E404F" w:rsidRPr="001402EF">
              <w:rPr>
                <w:rStyle w:val="Strong"/>
                <w:b w:val="0"/>
                <w:bCs w:val="0"/>
              </w:rPr>
              <w:t xml:space="preserve"> </w:t>
            </w:r>
            <w:r w:rsidRPr="001402EF">
              <w:rPr>
                <w:rStyle w:val="Strong"/>
                <w:b w:val="0"/>
                <w:bCs w:val="0"/>
              </w:rPr>
              <w:t>Unnecessary</w:t>
            </w:r>
            <w:r w:rsidR="008E404F" w:rsidRPr="001402EF">
              <w:rPr>
                <w:rStyle w:val="Strong"/>
                <w:b w:val="0"/>
                <w:bCs w:val="0"/>
              </w:rPr>
              <w:t xml:space="preserve"> Announcements:</w:t>
            </w:r>
            <w:r>
              <w:t xml:space="preserve"> </w:t>
            </w:r>
            <w:r w:rsidRPr="007C294F">
              <w:t xml:space="preserve">Announcements are sometimes re-used every time the course is taught. In other cases, they’re used as one offs and will never be used again. You can use this as an opportunity to delete the announcements you don’t plan on </w:t>
            </w:r>
            <w:r w:rsidR="00C22206" w:rsidRPr="007C294F">
              <w:t>using again</w:t>
            </w:r>
            <w:r w:rsidRPr="007C294F">
              <w:t xml:space="preserve"> before you convert your course.</w:t>
            </w:r>
          </w:p>
        </w:tc>
        <w:tc>
          <w:tcPr>
            <w:tcW w:w="2589" w:type="dxa"/>
            <w:vAlign w:val="center"/>
          </w:tcPr>
          <w:p w14:paraId="0B92762B" w14:textId="10C4A068" w:rsidR="008E404F" w:rsidRDefault="008E404F" w:rsidP="007C294F"/>
        </w:tc>
      </w:tr>
      <w:tr w:rsidR="006A7F7A" w14:paraId="5D7F206F" w14:textId="77777777" w:rsidTr="007C294F">
        <w:trPr>
          <w:trHeight w:val="442"/>
        </w:trPr>
        <w:tc>
          <w:tcPr>
            <w:tcW w:w="12950" w:type="dxa"/>
            <w:gridSpan w:val="2"/>
            <w:shd w:val="clear" w:color="auto" w:fill="A3DBDC"/>
          </w:tcPr>
          <w:p w14:paraId="5EEA4C54" w14:textId="4AE6695C" w:rsidR="006A7F7A" w:rsidRDefault="006A7F7A" w:rsidP="007C294F">
            <w:pPr>
              <w:pStyle w:val="Heading3"/>
            </w:pPr>
            <w:r w:rsidRPr="008E404F">
              <w:t>Course Menu &amp; Navigation</w:t>
            </w:r>
          </w:p>
        </w:tc>
      </w:tr>
      <w:tr w:rsidR="008E404F" w14:paraId="41D8109F" w14:textId="77777777" w:rsidTr="00194035">
        <w:trPr>
          <w:trHeight w:val="2078"/>
        </w:trPr>
        <w:tc>
          <w:tcPr>
            <w:tcW w:w="10361" w:type="dxa"/>
          </w:tcPr>
          <w:p w14:paraId="444A58D4" w14:textId="2D97A298" w:rsidR="008E404F" w:rsidRPr="00194035" w:rsidRDefault="008E404F" w:rsidP="00194035">
            <w:r w:rsidRPr="001402EF">
              <w:rPr>
                <w:rStyle w:val="Strong"/>
                <w:b w:val="0"/>
                <w:bCs w:val="0"/>
              </w:rPr>
              <w:t xml:space="preserve">Review </w:t>
            </w:r>
            <w:r w:rsidR="00F80B34" w:rsidRPr="001402EF">
              <w:rPr>
                <w:rStyle w:val="Strong"/>
                <w:b w:val="0"/>
                <w:bCs w:val="0"/>
              </w:rPr>
              <w:t>Depth</w:t>
            </w:r>
            <w:r w:rsidRPr="001402EF">
              <w:rPr>
                <w:rStyle w:val="Strong"/>
                <w:b w:val="0"/>
                <w:bCs w:val="0"/>
              </w:rPr>
              <w:t>:</w:t>
            </w:r>
            <w:r>
              <w:t xml:space="preserve"> </w:t>
            </w:r>
            <w:r w:rsidR="00F80B34">
              <w:t>Ultra courses are limited to two levels of depth. You can have a folder at the top level with a folder inside of it. That’s as deep as Ultra courses can go. For example, Folder &gt; Folder &gt; Item. In Original, you can have unlimited depth. If you would like to simplify the clean-up up process post conversion, you should limit yourself to the following: Content Area &gt; Folder &gt; Item. Contents Areas</w:t>
            </w:r>
            <w:r w:rsidR="00620045">
              <w:t xml:space="preserve"> (like</w:t>
            </w:r>
            <w:r w:rsidR="00375116">
              <w:t xml:space="preserve"> our Home Page, Syllabus &amp; Course Information and Course Content folders)</w:t>
            </w:r>
            <w:r w:rsidR="00F80B34">
              <w:t xml:space="preserve"> are converted to folders and take up one of your allowed levels in Ultra.</w:t>
            </w:r>
          </w:p>
        </w:tc>
        <w:tc>
          <w:tcPr>
            <w:tcW w:w="2589" w:type="dxa"/>
          </w:tcPr>
          <w:p w14:paraId="733E8DEF" w14:textId="77777777" w:rsidR="008E404F" w:rsidRDefault="008E404F" w:rsidP="007C294F"/>
        </w:tc>
      </w:tr>
      <w:tr w:rsidR="00F80B34" w14:paraId="727EAD3A" w14:textId="77777777" w:rsidTr="007C294F">
        <w:trPr>
          <w:trHeight w:val="1419"/>
        </w:trPr>
        <w:tc>
          <w:tcPr>
            <w:tcW w:w="10361" w:type="dxa"/>
          </w:tcPr>
          <w:p w14:paraId="4405A5D2" w14:textId="77777777" w:rsidR="000D75A3" w:rsidRDefault="00F80B34" w:rsidP="007C294F">
            <w:r w:rsidRPr="001402EF">
              <w:rPr>
                <w:rStyle w:val="Strong"/>
                <w:b w:val="0"/>
                <w:bCs w:val="0"/>
              </w:rPr>
              <w:t>Review Course Structure:</w:t>
            </w:r>
            <w:r>
              <w:t xml:space="preserve"> If all your content </w:t>
            </w:r>
            <w:r w:rsidR="0916F593">
              <w:t>in your Learn Original course</w:t>
            </w:r>
            <w:r w:rsidR="00A15AB7">
              <w:t xml:space="preserve"> content</w:t>
            </w:r>
            <w:r>
              <w:t xml:space="preserve"> is within a single </w:t>
            </w:r>
            <w:r w:rsidR="00A15AB7">
              <w:t xml:space="preserve">content folder (such as a Course Content folder), </w:t>
            </w:r>
            <w:r>
              <w:t xml:space="preserve">you may want to </w:t>
            </w:r>
            <w:r w:rsidR="00A15AB7">
              <w:t>move all the contents to the Home Page of your Learn Original course. This is especially important if you have week/module folders within the Course Content folder.</w:t>
            </w:r>
            <w:r w:rsidR="000D75A3">
              <w:t xml:space="preserve"> </w:t>
            </w:r>
          </w:p>
          <w:p w14:paraId="700B5CA0" w14:textId="465E4C01" w:rsidR="00F80B34" w:rsidRPr="00662981" w:rsidRDefault="000D75A3" w:rsidP="007C294F">
            <w:pPr>
              <w:rPr>
                <w:color w:val="FF0000"/>
              </w:rPr>
            </w:pPr>
            <w:r>
              <w:t>Note: You may also consider creating learning modules for each week/module and moving the content from each week’s folder into the newly created learning modules. This will provide a 1-to-1 conversion in Ultra.</w:t>
            </w:r>
          </w:p>
        </w:tc>
        <w:tc>
          <w:tcPr>
            <w:tcW w:w="2589" w:type="dxa"/>
          </w:tcPr>
          <w:p w14:paraId="7EED5910" w14:textId="77777777" w:rsidR="00F80B34" w:rsidRDefault="00F80B34" w:rsidP="007C294F"/>
        </w:tc>
      </w:tr>
    </w:tbl>
    <w:p w14:paraId="14016F23" w14:textId="77777777" w:rsidR="007C294F" w:rsidRDefault="007C294F">
      <w:r>
        <w:rPr>
          <w:b/>
          <w:bCs/>
        </w:rPr>
        <w:br w:type="page"/>
      </w:r>
    </w:p>
    <w:tbl>
      <w:tblPr>
        <w:tblStyle w:val="TableGrid"/>
        <w:tblW w:w="5000" w:type="pct"/>
        <w:tblLook w:val="04A0" w:firstRow="1" w:lastRow="0" w:firstColumn="1" w:lastColumn="0" w:noHBand="0" w:noVBand="1"/>
      </w:tblPr>
      <w:tblGrid>
        <w:gridCol w:w="10361"/>
        <w:gridCol w:w="2589"/>
      </w:tblGrid>
      <w:tr w:rsidR="00F80B34" w14:paraId="31625E05" w14:textId="77777777" w:rsidTr="007C294F">
        <w:trPr>
          <w:trHeight w:val="161"/>
        </w:trPr>
        <w:tc>
          <w:tcPr>
            <w:tcW w:w="10361" w:type="dxa"/>
            <w:shd w:val="clear" w:color="auto" w:fill="A3DBDC"/>
          </w:tcPr>
          <w:p w14:paraId="6FEDD01F" w14:textId="6E6AD886" w:rsidR="00F80B34" w:rsidRPr="00F80B34" w:rsidRDefault="00F80B34" w:rsidP="007C294F">
            <w:pPr>
              <w:pStyle w:val="Heading3"/>
            </w:pPr>
            <w:r w:rsidRPr="00F80B34">
              <w:lastRenderedPageBreak/>
              <w:t>Course Content</w:t>
            </w:r>
          </w:p>
        </w:tc>
        <w:tc>
          <w:tcPr>
            <w:tcW w:w="2589" w:type="dxa"/>
          </w:tcPr>
          <w:p w14:paraId="115628A8" w14:textId="77777777" w:rsidR="00F80B34" w:rsidRDefault="00F80B34" w:rsidP="007C294F"/>
        </w:tc>
      </w:tr>
      <w:tr w:rsidR="00F80B34" w14:paraId="2F18E9F6" w14:textId="77777777" w:rsidTr="007C294F">
        <w:trPr>
          <w:trHeight w:val="620"/>
        </w:trPr>
        <w:tc>
          <w:tcPr>
            <w:tcW w:w="10361" w:type="dxa"/>
          </w:tcPr>
          <w:p w14:paraId="263885F3" w14:textId="77777777" w:rsidR="00F80B34" w:rsidRDefault="00F80B34" w:rsidP="007C294F">
            <w:r w:rsidRPr="001402EF">
              <w:rPr>
                <w:rStyle w:val="Strong"/>
                <w:b w:val="0"/>
                <w:bCs w:val="0"/>
              </w:rPr>
              <w:t>Consolidate Content Items:</w:t>
            </w:r>
            <w:r>
              <w:t xml:space="preserve"> Content Areas in Original Course View are typically viewed as Pages</w:t>
            </w:r>
            <w:r w:rsidR="1BC6869D">
              <w:t>, w</w:t>
            </w:r>
            <w:r>
              <w:t>here each Content Area is a page of content made up of individual blocks (Content Items, Assignments, Discussions, etc.). In Ultra, these become Folders and each item in the Content Area becomes a standalone item. Because of this change, it’s a good idea to consolidate Content Items within the same Content Area, folder, or learning module into a single Content Item.</w:t>
            </w:r>
          </w:p>
          <w:p w14:paraId="04CCBC36" w14:textId="18361EDF" w:rsidR="005441CC" w:rsidRDefault="005441CC" w:rsidP="007C294F">
            <w:r>
              <w:t xml:space="preserve">In Original, folders were the recommended organization method. In Ultra, </w:t>
            </w:r>
            <w:r w:rsidR="00FC1337">
              <w:t>learning modules are</w:t>
            </w:r>
            <w:r w:rsidR="00CA2433">
              <w:t xml:space="preserve"> now</w:t>
            </w:r>
            <w:r w:rsidR="00FC1337">
              <w:t xml:space="preserve"> preferred. With learning modules in Ultra, you can add an image to module, </w:t>
            </w:r>
            <w:r w:rsidR="0015160D">
              <w:t>add folders, and</w:t>
            </w:r>
            <w:r w:rsidR="00CA2433">
              <w:t xml:space="preserve"> allow</w:t>
            </w:r>
            <w:r w:rsidR="0015160D">
              <w:t xml:space="preserve"> force sequencing if desired.</w:t>
            </w:r>
          </w:p>
          <w:p w14:paraId="3A1A650F" w14:textId="77777777" w:rsidR="00095DAD" w:rsidRDefault="00095DAD" w:rsidP="007C294F"/>
          <w:p w14:paraId="0B227738" w14:textId="31F9EDB4" w:rsidR="00095DAD" w:rsidRDefault="00095DAD" w:rsidP="007C294F">
            <w:r>
              <w:t xml:space="preserve">Folder: </w:t>
            </w:r>
            <w:r>
              <w:rPr>
                <w:noProof/>
              </w:rPr>
              <w:drawing>
                <wp:inline distT="0" distB="0" distL="0" distR="0" wp14:anchorId="5C20EC74" wp14:editId="44B4BB8F">
                  <wp:extent cx="1417401" cy="493559"/>
                  <wp:effectExtent l="0" t="0" r="0" b="1905"/>
                  <wp:docPr id="1037559290" name="Picture 1"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559290" name="Picture 1" descr="A black and white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426826" cy="496841"/>
                          </a:xfrm>
                          <a:prstGeom prst="rect">
                            <a:avLst/>
                          </a:prstGeom>
                        </pic:spPr>
                      </pic:pic>
                    </a:graphicData>
                  </a:graphic>
                </wp:inline>
              </w:drawing>
            </w:r>
          </w:p>
          <w:p w14:paraId="0D69259C" w14:textId="77777777" w:rsidR="00095DAD" w:rsidRDefault="00095DAD" w:rsidP="007C294F"/>
          <w:p w14:paraId="15EA0212" w14:textId="34AACEED" w:rsidR="00095DAD" w:rsidRDefault="00095DAD" w:rsidP="007C294F">
            <w:r>
              <w:t xml:space="preserve">Learning Module: </w:t>
            </w:r>
            <w:r>
              <w:rPr>
                <w:noProof/>
              </w:rPr>
              <w:drawing>
                <wp:inline distT="0" distB="0" distL="0" distR="0" wp14:anchorId="17D11AEA" wp14:editId="5CEC4A79">
                  <wp:extent cx="2712979" cy="1046789"/>
                  <wp:effectExtent l="0" t="0" r="0" b="1270"/>
                  <wp:docPr id="1971891755" name="Picture 2" descr="A green rect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891755" name="Picture 2" descr="A green rectangle with white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728780" cy="1052886"/>
                          </a:xfrm>
                          <a:prstGeom prst="rect">
                            <a:avLst/>
                          </a:prstGeom>
                        </pic:spPr>
                      </pic:pic>
                    </a:graphicData>
                  </a:graphic>
                </wp:inline>
              </w:drawing>
            </w:r>
          </w:p>
        </w:tc>
        <w:tc>
          <w:tcPr>
            <w:tcW w:w="2589" w:type="dxa"/>
          </w:tcPr>
          <w:p w14:paraId="4D5E20B0" w14:textId="77777777" w:rsidR="00F80B34" w:rsidRDefault="00F80B34" w:rsidP="007C294F"/>
        </w:tc>
      </w:tr>
      <w:tr w:rsidR="009F7A34" w14:paraId="7A07D06B" w14:textId="77777777" w:rsidTr="007C294F">
        <w:trPr>
          <w:trHeight w:val="146"/>
        </w:trPr>
        <w:tc>
          <w:tcPr>
            <w:tcW w:w="10361" w:type="dxa"/>
          </w:tcPr>
          <w:p w14:paraId="6D555846" w14:textId="4D9D8031" w:rsidR="00A03FCF" w:rsidRDefault="009F7A34" w:rsidP="007C294F">
            <w:r w:rsidRPr="001402EF">
              <w:rPr>
                <w:rStyle w:val="Strong"/>
                <w:b w:val="0"/>
                <w:bCs w:val="0"/>
              </w:rPr>
              <w:t>Review Descriptions:</w:t>
            </w:r>
            <w:r>
              <w:rPr>
                <w:b/>
                <w:bCs/>
              </w:rPr>
              <w:t xml:space="preserve"> </w:t>
            </w:r>
            <w:r w:rsidRPr="009F7A34">
              <w:t>Descriptions are limited to 750 characters in Ultra courses and can only contain plain text</w:t>
            </w:r>
            <w:r w:rsidR="000D75A3">
              <w:t xml:space="preserve"> (not formatting allowed)</w:t>
            </w:r>
            <w:r w:rsidRPr="009F7A34">
              <w:t>. Please review descriptions on the following content types and ensure you’re only using plain text and less than 750 characters</w:t>
            </w:r>
            <w:r w:rsidR="00A03FCF">
              <w:t>:</w:t>
            </w:r>
          </w:p>
          <w:p w14:paraId="721ACC5A" w14:textId="1524D5B0" w:rsidR="00452F29" w:rsidRPr="007C294F" w:rsidRDefault="00452F29" w:rsidP="007C294F">
            <w:pPr>
              <w:pStyle w:val="p1"/>
              <w:numPr>
                <w:ilvl w:val="0"/>
                <w:numId w:val="7"/>
              </w:numPr>
              <w:spacing w:before="60" w:after="0"/>
              <w:rPr>
                <w:rFonts w:ascii="Nunito Sans Light" w:eastAsiaTheme="minorEastAsia" w:hAnsi="Nunito Sans Light"/>
                <w:sz w:val="21"/>
                <w:szCs w:val="21"/>
              </w:rPr>
            </w:pPr>
            <w:r w:rsidRPr="007C294F">
              <w:rPr>
                <w:rFonts w:ascii="Nunito Sans Light" w:eastAsiaTheme="minorEastAsia" w:hAnsi="Nunito Sans Light"/>
                <w:sz w:val="21"/>
                <w:szCs w:val="21"/>
              </w:rPr>
              <w:t>Folder Descriptions</w:t>
            </w:r>
          </w:p>
          <w:p w14:paraId="091E924F" w14:textId="4EEDDEE2" w:rsidR="00452F29" w:rsidRPr="007C294F" w:rsidRDefault="00452F29" w:rsidP="007C294F">
            <w:pPr>
              <w:pStyle w:val="p1"/>
              <w:numPr>
                <w:ilvl w:val="0"/>
                <w:numId w:val="7"/>
              </w:numPr>
              <w:spacing w:before="60" w:after="0"/>
              <w:rPr>
                <w:rFonts w:ascii="Nunito Sans Light" w:eastAsiaTheme="minorEastAsia" w:hAnsi="Nunito Sans Light"/>
                <w:sz w:val="21"/>
                <w:szCs w:val="21"/>
              </w:rPr>
            </w:pPr>
            <w:r w:rsidRPr="007C294F">
              <w:rPr>
                <w:rFonts w:ascii="Nunito Sans Light" w:eastAsiaTheme="minorEastAsia" w:hAnsi="Nunito Sans Light"/>
                <w:sz w:val="21"/>
                <w:szCs w:val="21"/>
              </w:rPr>
              <w:t xml:space="preserve">Learning </w:t>
            </w:r>
            <w:r w:rsidR="000D75A3">
              <w:rPr>
                <w:rFonts w:ascii="Nunito Sans Light" w:eastAsiaTheme="minorEastAsia" w:hAnsi="Nunito Sans Light"/>
                <w:sz w:val="21"/>
                <w:szCs w:val="21"/>
              </w:rPr>
              <w:t>Module Description</w:t>
            </w:r>
          </w:p>
          <w:p w14:paraId="74DF8CAE" w14:textId="2284D1E8" w:rsidR="00452F29" w:rsidRPr="007C294F" w:rsidRDefault="00452F29" w:rsidP="007C294F">
            <w:pPr>
              <w:pStyle w:val="p1"/>
              <w:numPr>
                <w:ilvl w:val="0"/>
                <w:numId w:val="7"/>
              </w:numPr>
              <w:spacing w:before="60" w:after="0"/>
              <w:rPr>
                <w:rFonts w:ascii="Nunito Sans Light" w:eastAsiaTheme="minorEastAsia" w:hAnsi="Nunito Sans Light"/>
                <w:sz w:val="21"/>
                <w:szCs w:val="21"/>
              </w:rPr>
            </w:pPr>
            <w:r w:rsidRPr="007C294F">
              <w:rPr>
                <w:rFonts w:ascii="Nunito Sans Light" w:eastAsiaTheme="minorEastAsia" w:hAnsi="Nunito Sans Light"/>
                <w:sz w:val="21"/>
                <w:szCs w:val="21"/>
              </w:rPr>
              <w:t>Lesson Plans Description</w:t>
            </w:r>
          </w:p>
          <w:p w14:paraId="3F24E0F4" w14:textId="1F0BD3A0" w:rsidR="00452F29" w:rsidRPr="007C294F" w:rsidRDefault="00452F29" w:rsidP="007C294F">
            <w:pPr>
              <w:pStyle w:val="p1"/>
              <w:numPr>
                <w:ilvl w:val="0"/>
                <w:numId w:val="7"/>
              </w:numPr>
              <w:spacing w:before="60" w:after="0"/>
              <w:rPr>
                <w:rFonts w:ascii="Nunito Sans Light" w:eastAsiaTheme="minorEastAsia" w:hAnsi="Nunito Sans Light"/>
                <w:sz w:val="21"/>
                <w:szCs w:val="21"/>
              </w:rPr>
            </w:pPr>
            <w:r w:rsidRPr="007C294F">
              <w:rPr>
                <w:rFonts w:ascii="Nunito Sans Light" w:eastAsiaTheme="minorEastAsia" w:hAnsi="Nunito Sans Light"/>
                <w:sz w:val="21"/>
                <w:szCs w:val="21"/>
              </w:rPr>
              <w:t>Web Links Description</w:t>
            </w:r>
          </w:p>
          <w:p w14:paraId="04D6C04B" w14:textId="7284BA7C" w:rsidR="00452F29" w:rsidRPr="007C294F" w:rsidRDefault="00452F29" w:rsidP="007C294F">
            <w:pPr>
              <w:pStyle w:val="p1"/>
              <w:numPr>
                <w:ilvl w:val="0"/>
                <w:numId w:val="7"/>
              </w:numPr>
              <w:spacing w:before="60" w:after="0"/>
              <w:rPr>
                <w:rFonts w:ascii="Nunito Sans Light" w:eastAsiaTheme="minorEastAsia" w:hAnsi="Nunito Sans Light"/>
                <w:sz w:val="21"/>
                <w:szCs w:val="21"/>
              </w:rPr>
            </w:pPr>
            <w:r w:rsidRPr="007C294F">
              <w:rPr>
                <w:rFonts w:ascii="Nunito Sans Light" w:eastAsiaTheme="minorEastAsia" w:hAnsi="Nunito Sans Light"/>
                <w:sz w:val="21"/>
                <w:szCs w:val="21"/>
              </w:rPr>
              <w:lastRenderedPageBreak/>
              <w:t>Content Package (SCORM)</w:t>
            </w:r>
          </w:p>
          <w:p w14:paraId="3D9BB3F2" w14:textId="4FDFDA7B" w:rsidR="00452F29" w:rsidRPr="007C294F" w:rsidRDefault="00452F29" w:rsidP="007C294F">
            <w:pPr>
              <w:pStyle w:val="p1"/>
              <w:numPr>
                <w:ilvl w:val="0"/>
                <w:numId w:val="7"/>
              </w:numPr>
              <w:spacing w:before="60" w:after="0"/>
              <w:rPr>
                <w:rFonts w:ascii="Nunito Sans Light" w:eastAsiaTheme="minorEastAsia" w:hAnsi="Nunito Sans Light"/>
                <w:sz w:val="21"/>
                <w:szCs w:val="21"/>
              </w:rPr>
            </w:pPr>
            <w:r w:rsidRPr="007C294F">
              <w:rPr>
                <w:rFonts w:ascii="Nunito Sans Light" w:eastAsiaTheme="minorEastAsia" w:hAnsi="Nunito Sans Light"/>
                <w:sz w:val="21"/>
                <w:szCs w:val="21"/>
              </w:rPr>
              <w:t>Flickr Mashup Description</w:t>
            </w:r>
          </w:p>
          <w:p w14:paraId="19531552" w14:textId="3C5AC769" w:rsidR="00452F29" w:rsidRPr="007C294F" w:rsidRDefault="00452F29" w:rsidP="007C294F">
            <w:pPr>
              <w:pStyle w:val="p1"/>
              <w:numPr>
                <w:ilvl w:val="0"/>
                <w:numId w:val="7"/>
              </w:numPr>
              <w:spacing w:before="60" w:after="0"/>
              <w:rPr>
                <w:rFonts w:ascii="Nunito Sans Light" w:eastAsiaTheme="minorEastAsia" w:hAnsi="Nunito Sans Light"/>
                <w:sz w:val="21"/>
                <w:szCs w:val="21"/>
              </w:rPr>
            </w:pPr>
            <w:r w:rsidRPr="007C294F">
              <w:rPr>
                <w:rFonts w:ascii="Nunito Sans Light" w:eastAsiaTheme="minorEastAsia" w:hAnsi="Nunito Sans Light"/>
                <w:sz w:val="21"/>
                <w:szCs w:val="21"/>
              </w:rPr>
              <w:t>Test Content Link Description</w:t>
            </w:r>
          </w:p>
          <w:p w14:paraId="4761FA7A" w14:textId="47CF8BC0" w:rsidR="009F7A34" w:rsidRPr="00A03FCF" w:rsidRDefault="009F7A34" w:rsidP="007C294F">
            <w:r w:rsidRPr="000D75A3">
              <w:t xml:space="preserve">If you’re using multi-media, file attachments, or anything </w:t>
            </w:r>
            <w:r w:rsidR="00452F29" w:rsidRPr="000D75A3">
              <w:t>besides plain text</w:t>
            </w:r>
            <w:r w:rsidR="000D75A3" w:rsidRPr="000D75A3">
              <w:t xml:space="preserve"> in your descriptions</w:t>
            </w:r>
            <w:r w:rsidR="4BE93D4F" w:rsidRPr="000D75A3">
              <w:t>, y</w:t>
            </w:r>
            <w:r w:rsidRPr="000D75A3">
              <w:t xml:space="preserve">ou </w:t>
            </w:r>
            <w:r w:rsidR="00C32EA4" w:rsidRPr="000D75A3">
              <w:t>may</w:t>
            </w:r>
            <w:r w:rsidRPr="000D75A3">
              <w:t xml:space="preserve"> want to move those into a new content item</w:t>
            </w:r>
            <w:r w:rsidR="00662981" w:rsidRPr="000D75A3">
              <w:rPr>
                <w:color w:val="FF0000"/>
              </w:rPr>
              <w:t xml:space="preserve"> </w:t>
            </w:r>
            <w:r w:rsidR="00C32EA4" w:rsidRPr="000D75A3">
              <w:t>to avoid it being dropped during conversion</w:t>
            </w:r>
            <w:r w:rsidRPr="000D75A3">
              <w:t>.</w:t>
            </w:r>
          </w:p>
        </w:tc>
        <w:tc>
          <w:tcPr>
            <w:tcW w:w="2589" w:type="dxa"/>
          </w:tcPr>
          <w:p w14:paraId="14D2E780" w14:textId="77777777" w:rsidR="009F7A34" w:rsidRDefault="009F7A34" w:rsidP="007C294F"/>
        </w:tc>
      </w:tr>
      <w:tr w:rsidR="006545FC" w14:paraId="324775F3" w14:textId="77777777" w:rsidTr="007C294F">
        <w:trPr>
          <w:trHeight w:val="146"/>
        </w:trPr>
        <w:tc>
          <w:tcPr>
            <w:tcW w:w="10361" w:type="dxa"/>
          </w:tcPr>
          <w:p w14:paraId="2CD2ECBE" w14:textId="77777777" w:rsidR="006545FC" w:rsidRDefault="006545FC" w:rsidP="007C294F">
            <w:r w:rsidRPr="001402EF">
              <w:rPr>
                <w:rStyle w:val="Strong"/>
                <w:b w:val="0"/>
                <w:bCs w:val="0"/>
              </w:rPr>
              <w:t xml:space="preserve">HTML </w:t>
            </w:r>
            <w:r w:rsidR="00452F29" w:rsidRPr="001402EF">
              <w:rPr>
                <w:rStyle w:val="Strong"/>
                <w:b w:val="0"/>
                <w:bCs w:val="0"/>
              </w:rPr>
              <w:t>Objects</w:t>
            </w:r>
            <w:r w:rsidRPr="001402EF">
              <w:rPr>
                <w:rStyle w:val="Strong"/>
                <w:b w:val="0"/>
                <w:bCs w:val="0"/>
              </w:rPr>
              <w:t>:</w:t>
            </w:r>
            <w:r>
              <w:rPr>
                <w:b/>
                <w:bCs/>
              </w:rPr>
              <w:t xml:space="preserve"> </w:t>
            </w:r>
            <w:r w:rsidR="0096253B" w:rsidRPr="0096253B">
              <w:t>HTML Content like embed codes are typically dropped during conversion. Make sure to backup those embed codes before conversion so that they can be recreated as HTML blocks in the Ultra Course View.</w:t>
            </w:r>
          </w:p>
          <w:p w14:paraId="17E0627F" w14:textId="30A747F9" w:rsidR="000D75A3" w:rsidRPr="00662981" w:rsidRDefault="000D75A3" w:rsidP="007C294F">
            <w:pPr>
              <w:rPr>
                <w:b/>
                <w:bCs/>
                <w:color w:val="FF0000"/>
              </w:rPr>
            </w:pPr>
            <w:r>
              <w:rPr>
                <w:b/>
                <w:bCs/>
                <w:color w:val="FF0000"/>
              </w:rPr>
              <w:t>Note: Please review any Panopto Video placements to ensure they are placed correctly in the converted course.</w:t>
            </w:r>
          </w:p>
        </w:tc>
        <w:tc>
          <w:tcPr>
            <w:tcW w:w="2589" w:type="dxa"/>
          </w:tcPr>
          <w:p w14:paraId="162F5E75" w14:textId="77777777" w:rsidR="006545FC" w:rsidRDefault="006545FC" w:rsidP="007C294F"/>
        </w:tc>
      </w:tr>
      <w:tr w:rsidR="00F80B34" w14:paraId="660F27FB" w14:textId="77777777" w:rsidTr="007C294F">
        <w:trPr>
          <w:trHeight w:val="146"/>
        </w:trPr>
        <w:tc>
          <w:tcPr>
            <w:tcW w:w="10361" w:type="dxa"/>
            <w:shd w:val="clear" w:color="auto" w:fill="A3DBDC"/>
          </w:tcPr>
          <w:p w14:paraId="5041E318" w14:textId="62645530" w:rsidR="00F80B34" w:rsidRPr="00F80B34" w:rsidRDefault="00F80B34" w:rsidP="007C294F">
            <w:pPr>
              <w:pStyle w:val="Heading3"/>
            </w:pPr>
            <w:r w:rsidRPr="4B10496F">
              <w:t>Discussions</w:t>
            </w:r>
          </w:p>
        </w:tc>
        <w:tc>
          <w:tcPr>
            <w:tcW w:w="2589" w:type="dxa"/>
          </w:tcPr>
          <w:p w14:paraId="0AB1E79D" w14:textId="77777777" w:rsidR="00F80B34" w:rsidRDefault="00F80B34" w:rsidP="007C294F"/>
        </w:tc>
      </w:tr>
      <w:tr w:rsidR="009F7A34" w14:paraId="6A696BC9" w14:textId="77777777" w:rsidTr="007C294F">
        <w:trPr>
          <w:trHeight w:val="2607"/>
        </w:trPr>
        <w:tc>
          <w:tcPr>
            <w:tcW w:w="10361" w:type="dxa"/>
          </w:tcPr>
          <w:p w14:paraId="2DA28A1E" w14:textId="4F189908" w:rsidR="007D2E40" w:rsidRDefault="009F7A34" w:rsidP="007C294F">
            <w:r w:rsidRPr="001402EF">
              <w:rPr>
                <w:rStyle w:val="Strong"/>
                <w:b w:val="0"/>
                <w:bCs w:val="0"/>
              </w:rPr>
              <w:t>Review Discussion Forum Settings:</w:t>
            </w:r>
            <w:r>
              <w:t xml:space="preserve"> </w:t>
            </w:r>
            <w:r w:rsidR="00181FC6">
              <w:t>Discussion Forums and Threads are converted differently based off the “allow members to create new threads”</w:t>
            </w:r>
            <w:r w:rsidR="00F06F8B">
              <w:t xml:space="preserve"> setting on Discussion Forums. You should review the conversion logic below and verify that the correct settings are applied </w:t>
            </w:r>
            <w:r w:rsidR="00363E43">
              <w:t>to your Discussion Forums for your desired output.</w:t>
            </w:r>
          </w:p>
          <w:p w14:paraId="7ADCF4A6" w14:textId="702FF7E8" w:rsidR="007D2E40" w:rsidRDefault="009774FC" w:rsidP="007C294F">
            <w:pPr>
              <w:pStyle w:val="ListParagraph"/>
              <w:numPr>
                <w:ilvl w:val="0"/>
                <w:numId w:val="3"/>
              </w:numPr>
            </w:pPr>
            <w:r w:rsidRPr="001402EF">
              <w:rPr>
                <w:rStyle w:val="Strong"/>
                <w:b w:val="0"/>
                <w:bCs w:val="0"/>
              </w:rPr>
              <w:t>Discussion Forum is the Discussion Prompt:</w:t>
            </w:r>
            <w:r>
              <w:t xml:space="preserve"> </w:t>
            </w:r>
            <w:r w:rsidR="009F7A34">
              <w:t xml:space="preserve">If the Discussion Forum is the Discussion Prompt, ensure that the “Allow members to create new threads” is selected. </w:t>
            </w:r>
            <w:r w:rsidR="003603F9">
              <w:t xml:space="preserve">The </w:t>
            </w:r>
            <w:r w:rsidR="00363E43">
              <w:t xml:space="preserve">Discussion Forum will be converted to </w:t>
            </w:r>
            <w:r w:rsidR="003603F9">
              <w:t>a Discussion. All Threads in the Discussion Forum will be dropped during conversion.</w:t>
            </w:r>
          </w:p>
          <w:p w14:paraId="062FE101" w14:textId="3E030E7B" w:rsidR="009F7A34" w:rsidRDefault="009774FC" w:rsidP="009F10E1">
            <w:pPr>
              <w:pStyle w:val="ListParagraph"/>
              <w:numPr>
                <w:ilvl w:val="0"/>
                <w:numId w:val="3"/>
              </w:numPr>
            </w:pPr>
            <w:r w:rsidRPr="001402EF">
              <w:rPr>
                <w:rStyle w:val="Strong"/>
                <w:b w:val="0"/>
                <w:bCs w:val="0"/>
              </w:rPr>
              <w:t>Discussion Forum is a container for Discussion Prompts</w:t>
            </w:r>
            <w:r w:rsidRPr="001402EF">
              <w:rPr>
                <w:b/>
                <w:bCs/>
              </w:rPr>
              <w:t>:</w:t>
            </w:r>
            <w:r>
              <w:t xml:space="preserve"> </w:t>
            </w:r>
            <w:r w:rsidR="009F7A34">
              <w:t xml:space="preserve">If the Discussion Forum is a container that contains Threads that are the Discussion Prompts, ensure that the “Allow members to create new threads” is not selected. </w:t>
            </w:r>
            <w:r w:rsidR="003603F9">
              <w:t>The Discussion Forum will be converted to a Folder on the Discussions Tab. Each Thread within the Discussion Forum will be converted into a Discussion</w:t>
            </w:r>
            <w:r w:rsidR="00264D5C">
              <w:t xml:space="preserve"> and placed within the Folder.</w:t>
            </w:r>
          </w:p>
        </w:tc>
        <w:tc>
          <w:tcPr>
            <w:tcW w:w="2589" w:type="dxa"/>
          </w:tcPr>
          <w:p w14:paraId="75D79483" w14:textId="77777777" w:rsidR="009F7A34" w:rsidRDefault="009F7A34" w:rsidP="007C294F"/>
        </w:tc>
      </w:tr>
      <w:tr w:rsidR="009F7A34" w14:paraId="67D7CF1C" w14:textId="77777777" w:rsidTr="007C294F">
        <w:trPr>
          <w:trHeight w:val="1140"/>
        </w:trPr>
        <w:tc>
          <w:tcPr>
            <w:tcW w:w="10361" w:type="dxa"/>
          </w:tcPr>
          <w:p w14:paraId="4F4C31DE" w14:textId="1AF41F93" w:rsidR="009F7A34" w:rsidRDefault="009F7A34" w:rsidP="007C294F">
            <w:r w:rsidRPr="001402EF">
              <w:rPr>
                <w:rStyle w:val="Strong"/>
                <w:b w:val="0"/>
                <w:bCs w:val="0"/>
              </w:rPr>
              <w:t>Review Discussion Threads:</w:t>
            </w:r>
            <w:r>
              <w:t xml:space="preserve"> Discussion Threads with </w:t>
            </w:r>
            <w:r w:rsidR="00723BA6">
              <w:t>a</w:t>
            </w:r>
            <w:r>
              <w:t xml:space="preserve">ttachments (not to be confused with attachments added </w:t>
            </w:r>
            <w:r w:rsidR="00723BA6">
              <w:t>with the</w:t>
            </w:r>
            <w:r>
              <w:t xml:space="preserve"> Content Editor) are not brought over during the conversion process. Please ensure that you add attachments </w:t>
            </w:r>
            <w:r w:rsidR="00723BA6">
              <w:t>with</w:t>
            </w:r>
            <w:r>
              <w:t xml:space="preserve"> the Content Editor to ensure they come over during conversion.</w:t>
            </w:r>
          </w:p>
        </w:tc>
        <w:tc>
          <w:tcPr>
            <w:tcW w:w="2589" w:type="dxa"/>
          </w:tcPr>
          <w:p w14:paraId="3921FC46" w14:textId="77777777" w:rsidR="009F7A34" w:rsidRDefault="009F7A34" w:rsidP="007C294F"/>
        </w:tc>
      </w:tr>
    </w:tbl>
    <w:p w14:paraId="1279110A" w14:textId="77777777" w:rsidR="009F3C07" w:rsidRDefault="009F3C07" w:rsidP="007C294F">
      <w:pPr>
        <w:pStyle w:val="Heading1"/>
      </w:pPr>
      <w:r>
        <w:br w:type="page"/>
      </w:r>
    </w:p>
    <w:p w14:paraId="6E6D5056" w14:textId="1A8C467E" w:rsidR="008E404F" w:rsidRPr="009F7A34" w:rsidRDefault="008E404F" w:rsidP="007C294F">
      <w:pPr>
        <w:pStyle w:val="Heading1"/>
      </w:pPr>
      <w:r w:rsidRPr="009F7A34">
        <w:lastRenderedPageBreak/>
        <w:t xml:space="preserve">After Conversion </w:t>
      </w:r>
      <w:r w:rsidRPr="00247DFD">
        <w:t>Checklist</w:t>
      </w:r>
    </w:p>
    <w:p w14:paraId="515614EB" w14:textId="77777777" w:rsidR="008E404F" w:rsidRDefault="008E404F" w:rsidP="007C294F"/>
    <w:tbl>
      <w:tblPr>
        <w:tblStyle w:val="TableGrid"/>
        <w:tblW w:w="5000" w:type="pct"/>
        <w:tblLook w:val="04A0" w:firstRow="1" w:lastRow="0" w:firstColumn="1" w:lastColumn="0" w:noHBand="0" w:noVBand="1"/>
      </w:tblPr>
      <w:tblGrid>
        <w:gridCol w:w="10361"/>
        <w:gridCol w:w="2589"/>
      </w:tblGrid>
      <w:tr w:rsidR="009F7A34" w14:paraId="224C75CF" w14:textId="77777777" w:rsidTr="00247DFD">
        <w:tc>
          <w:tcPr>
            <w:tcW w:w="10361" w:type="dxa"/>
            <w:shd w:val="clear" w:color="auto" w:fill="000000" w:themeFill="text1"/>
          </w:tcPr>
          <w:p w14:paraId="38BDC507" w14:textId="77777777" w:rsidR="009F7A34" w:rsidRPr="007C294F" w:rsidRDefault="009F7A34" w:rsidP="00141818">
            <w:pPr>
              <w:pStyle w:val="Heading2"/>
            </w:pPr>
            <w:r w:rsidRPr="007C294F">
              <w:t>TASKS</w:t>
            </w:r>
          </w:p>
        </w:tc>
        <w:tc>
          <w:tcPr>
            <w:tcW w:w="2589" w:type="dxa"/>
            <w:shd w:val="clear" w:color="auto" w:fill="000000" w:themeFill="text1"/>
          </w:tcPr>
          <w:p w14:paraId="633C7B20" w14:textId="77777777" w:rsidR="009F7A34" w:rsidRPr="007C294F" w:rsidRDefault="009F7A34" w:rsidP="00141818">
            <w:pPr>
              <w:pStyle w:val="Heading2"/>
            </w:pPr>
            <w:r w:rsidRPr="007C294F">
              <w:t>STATUS</w:t>
            </w:r>
          </w:p>
        </w:tc>
      </w:tr>
      <w:tr w:rsidR="009F7A34" w14:paraId="264DCAA8" w14:textId="77777777" w:rsidTr="007C294F">
        <w:tc>
          <w:tcPr>
            <w:tcW w:w="12950" w:type="dxa"/>
            <w:gridSpan w:val="2"/>
            <w:shd w:val="clear" w:color="auto" w:fill="A3DBDC"/>
          </w:tcPr>
          <w:p w14:paraId="6A50515A" w14:textId="7FD8FAE9" w:rsidR="009F7A34" w:rsidRPr="007C294F" w:rsidRDefault="00F64360" w:rsidP="007C294F">
            <w:pPr>
              <w:pStyle w:val="Heading3"/>
            </w:pPr>
            <w:r w:rsidRPr="007C294F">
              <w:t>Analytics</w:t>
            </w:r>
          </w:p>
        </w:tc>
      </w:tr>
      <w:tr w:rsidR="00637B7D" w14:paraId="49CCE04F" w14:textId="77777777" w:rsidTr="4B10496F">
        <w:tc>
          <w:tcPr>
            <w:tcW w:w="10361" w:type="dxa"/>
          </w:tcPr>
          <w:p w14:paraId="06F2D5C0" w14:textId="1CAA8CFD" w:rsidR="00637B7D" w:rsidRDefault="00803646" w:rsidP="007C294F">
            <w:pPr>
              <w:rPr>
                <w:b/>
                <w:bCs/>
              </w:rPr>
            </w:pPr>
            <w:r w:rsidRPr="001402EF">
              <w:rPr>
                <w:rStyle w:val="Strong"/>
                <w:b w:val="0"/>
                <w:bCs w:val="0"/>
              </w:rPr>
              <w:t>Alerts</w:t>
            </w:r>
            <w:r w:rsidR="00637B7D" w:rsidRPr="001402EF">
              <w:rPr>
                <w:rStyle w:val="Strong"/>
                <w:b w:val="0"/>
                <w:bCs w:val="0"/>
              </w:rPr>
              <w:t>:</w:t>
            </w:r>
            <w:r w:rsidR="00637B7D">
              <w:rPr>
                <w:b/>
                <w:bCs/>
              </w:rPr>
              <w:t xml:space="preserve"> </w:t>
            </w:r>
            <w:r>
              <w:t>The course activity tab allows you to configure alerts</w:t>
            </w:r>
            <w:r w:rsidR="006857B9">
              <w:t xml:space="preserve"> that will notify you if a student’s grade drops below X percentage or if they have not accessed the course in X number of days.</w:t>
            </w:r>
            <w:r w:rsidR="00FB2539">
              <w:t xml:space="preserve"> You can also have alerts sent to students based off these settings.</w:t>
            </w:r>
            <w:r w:rsidR="00331DA2">
              <w:t xml:space="preserve"> </w:t>
            </w:r>
            <w:r w:rsidR="0036366D">
              <w:t>You</w:t>
            </w:r>
            <w:r w:rsidR="00331DA2">
              <w:t xml:space="preserve"> may want to review and adjust these settings</w:t>
            </w:r>
            <w:r w:rsidR="0036366D">
              <w:t xml:space="preserve"> based off your preferences.</w:t>
            </w:r>
            <w:r w:rsidR="00FB2539">
              <w:t xml:space="preserve"> </w:t>
            </w:r>
            <w:hyperlink r:id="rId9" w:history="1">
              <w:r w:rsidR="00FB2539" w:rsidRPr="00521D94">
                <w:rPr>
                  <w:rStyle w:val="Hyperlink"/>
                </w:rPr>
                <w:t>Learn more.</w:t>
              </w:r>
            </w:hyperlink>
          </w:p>
        </w:tc>
        <w:tc>
          <w:tcPr>
            <w:tcW w:w="2589" w:type="dxa"/>
          </w:tcPr>
          <w:p w14:paraId="2CFEE611" w14:textId="77777777" w:rsidR="00637B7D" w:rsidRDefault="00637B7D" w:rsidP="007C294F"/>
        </w:tc>
      </w:tr>
      <w:tr w:rsidR="00F64360" w14:paraId="0ACF182F" w14:textId="77777777" w:rsidTr="007C294F">
        <w:tc>
          <w:tcPr>
            <w:tcW w:w="12950" w:type="dxa"/>
            <w:gridSpan w:val="2"/>
            <w:shd w:val="clear" w:color="auto" w:fill="A3DBDC"/>
          </w:tcPr>
          <w:p w14:paraId="635D3BE1" w14:textId="65D22017" w:rsidR="00F64360" w:rsidRPr="00F64360" w:rsidRDefault="00F64360" w:rsidP="007C294F">
            <w:pPr>
              <w:pStyle w:val="Heading3"/>
            </w:pPr>
            <w:r w:rsidRPr="00F64360">
              <w:t>Announcements</w:t>
            </w:r>
          </w:p>
        </w:tc>
      </w:tr>
      <w:tr w:rsidR="00F64360" w14:paraId="71D8818C" w14:textId="77777777" w:rsidTr="4B10496F">
        <w:tc>
          <w:tcPr>
            <w:tcW w:w="10361" w:type="dxa"/>
          </w:tcPr>
          <w:p w14:paraId="005B3EA4" w14:textId="2D41722A" w:rsidR="00720D59" w:rsidRDefault="00F64360" w:rsidP="007C294F">
            <w:r w:rsidRPr="001402EF">
              <w:rPr>
                <w:rStyle w:val="Strong"/>
                <w:b w:val="0"/>
                <w:bCs w:val="0"/>
              </w:rPr>
              <w:t>Review Announcements:</w:t>
            </w:r>
            <w:r>
              <w:rPr>
                <w:b/>
                <w:bCs/>
              </w:rPr>
              <w:t xml:space="preserve"> </w:t>
            </w:r>
            <w:r>
              <w:t>Font</w:t>
            </w:r>
            <w:r w:rsidRPr="00554394">
              <w:t xml:space="preserve"> style, size</w:t>
            </w:r>
            <w:r>
              <w:t>,</w:t>
            </w:r>
            <w:r w:rsidRPr="00554394">
              <w:t xml:space="preserve"> and color can </w:t>
            </w:r>
            <w:r>
              <w:t>change</w:t>
            </w:r>
            <w:r w:rsidRPr="00554394">
              <w:t xml:space="preserve"> during the conversion process</w:t>
            </w:r>
            <w:r>
              <w:t xml:space="preserve"> because there is a difference in options between original and ultra courses. You may want to review and adjust the formatting as needed.</w:t>
            </w:r>
          </w:p>
          <w:p w14:paraId="3D8E8E5D" w14:textId="4317CE4E" w:rsidR="00720D59" w:rsidRPr="00E660C0" w:rsidRDefault="00E660C0" w:rsidP="007C294F">
            <w:r w:rsidRPr="007C294F">
              <w:rPr>
                <w:rStyle w:val="Strong"/>
                <w:i/>
                <w:iCs/>
              </w:rPr>
              <w:t>Note:</w:t>
            </w:r>
            <w:r w:rsidRPr="00E660C0">
              <w:t xml:space="preserve"> </w:t>
            </w:r>
            <w:r w:rsidR="00720D59" w:rsidRPr="00E660C0">
              <w:t xml:space="preserve">Course Links and embedded content from </w:t>
            </w:r>
            <w:r w:rsidRPr="00E660C0">
              <w:t xml:space="preserve">some </w:t>
            </w:r>
            <w:r w:rsidR="00720D59" w:rsidRPr="00E660C0">
              <w:t>external sources do not come over during the conversion process. You m</w:t>
            </w:r>
            <w:r w:rsidRPr="00E660C0">
              <w:t xml:space="preserve">ay want to check to </w:t>
            </w:r>
            <w:r>
              <w:t xml:space="preserve">see </w:t>
            </w:r>
            <w:r w:rsidRPr="00E660C0">
              <w:t>if anything is missing and replace as needed.</w:t>
            </w:r>
          </w:p>
        </w:tc>
        <w:tc>
          <w:tcPr>
            <w:tcW w:w="2589" w:type="dxa"/>
          </w:tcPr>
          <w:p w14:paraId="20F854C3" w14:textId="77777777" w:rsidR="00F64360" w:rsidRDefault="00F64360" w:rsidP="007C294F"/>
        </w:tc>
      </w:tr>
      <w:tr w:rsidR="00F64360" w14:paraId="25B1D88A" w14:textId="77777777" w:rsidTr="00247DFD">
        <w:trPr>
          <w:trHeight w:val="440"/>
        </w:trPr>
        <w:tc>
          <w:tcPr>
            <w:tcW w:w="10361" w:type="dxa"/>
          </w:tcPr>
          <w:p w14:paraId="11644429" w14:textId="650EA271" w:rsidR="00F64360" w:rsidRPr="008872B2" w:rsidRDefault="00F64360" w:rsidP="007C294F">
            <w:pPr>
              <w:rPr>
                <w:color w:val="0563C1" w:themeColor="hyperlink"/>
                <w:u w:val="single"/>
              </w:rPr>
            </w:pPr>
            <w:r w:rsidRPr="001402EF">
              <w:rPr>
                <w:rStyle w:val="Strong"/>
                <w:b w:val="0"/>
                <w:bCs w:val="0"/>
              </w:rPr>
              <w:t>Hide Announcements:</w:t>
            </w:r>
            <w:r>
              <w:t xml:space="preserve"> Announcements are automatically posted in a converted course. A posted announcement is visible to students that are enrolled in the course. You may want to hide these announcements so that students don’t see them all at once. You can hide announcements by turning off the “Schedule Announcement” option for each announcement.  </w:t>
            </w:r>
            <w:hyperlink r:id="rId10" w:history="1">
              <w:r w:rsidRPr="00332091">
                <w:rPr>
                  <w:rStyle w:val="Hyperlink"/>
                </w:rPr>
                <w:t>Learn more.</w:t>
              </w:r>
            </w:hyperlink>
          </w:p>
        </w:tc>
        <w:tc>
          <w:tcPr>
            <w:tcW w:w="2589" w:type="dxa"/>
          </w:tcPr>
          <w:p w14:paraId="4E97840D" w14:textId="77777777" w:rsidR="00F64360" w:rsidRDefault="00F64360" w:rsidP="007C294F"/>
        </w:tc>
      </w:tr>
      <w:tr w:rsidR="00F64360" w14:paraId="49D918C2" w14:textId="77777777" w:rsidTr="007C294F">
        <w:tc>
          <w:tcPr>
            <w:tcW w:w="12950" w:type="dxa"/>
            <w:gridSpan w:val="2"/>
            <w:shd w:val="clear" w:color="auto" w:fill="A3DBDC"/>
          </w:tcPr>
          <w:p w14:paraId="5A0D433B" w14:textId="2299E9A6" w:rsidR="00F64360" w:rsidRDefault="00F64360" w:rsidP="007C294F">
            <w:pPr>
              <w:pStyle w:val="Heading3"/>
            </w:pPr>
            <w:r w:rsidRPr="00EF0647">
              <w:t>Attendance</w:t>
            </w:r>
          </w:p>
        </w:tc>
      </w:tr>
      <w:tr w:rsidR="00F64360" w14:paraId="3AD1853A" w14:textId="77777777" w:rsidTr="4B10496F">
        <w:tc>
          <w:tcPr>
            <w:tcW w:w="10361" w:type="dxa"/>
          </w:tcPr>
          <w:p w14:paraId="45280193" w14:textId="65403DDA" w:rsidR="00F64360" w:rsidRPr="001D652F" w:rsidRDefault="00F64360" w:rsidP="007C294F">
            <w:pPr>
              <w:rPr>
                <w:b/>
                <w:bCs/>
              </w:rPr>
            </w:pPr>
            <w:r w:rsidRPr="001402EF">
              <w:rPr>
                <w:rStyle w:val="Strong"/>
                <w:b w:val="0"/>
                <w:bCs w:val="0"/>
              </w:rPr>
              <w:t>Configure Attendance:</w:t>
            </w:r>
            <w:r>
              <w:rPr>
                <w:b/>
                <w:bCs/>
              </w:rPr>
              <w:t xml:space="preserve"> </w:t>
            </w:r>
            <w:r w:rsidRPr="00591D4A">
              <w:t xml:space="preserve">You may want to configure Attendance in your course. Attendance allows you to mark students as present, </w:t>
            </w:r>
            <w:r>
              <w:t xml:space="preserve">late, </w:t>
            </w:r>
            <w:r w:rsidRPr="00591D4A">
              <w:t xml:space="preserve">absent, or </w:t>
            </w:r>
            <w:r>
              <w:t>excused</w:t>
            </w:r>
            <w:r w:rsidRPr="00591D4A">
              <w:t xml:space="preserve"> on dates you specify.</w:t>
            </w:r>
            <w:r>
              <w:t xml:space="preserve"> When configured, you have the option to use attendance as a grade column in the gradebook. </w:t>
            </w:r>
            <w:hyperlink r:id="rId11" w:history="1">
              <w:r w:rsidRPr="0057687C">
                <w:rPr>
                  <w:rStyle w:val="Hyperlink"/>
                </w:rPr>
                <w:t>Learn more.</w:t>
              </w:r>
            </w:hyperlink>
            <w:r>
              <w:t xml:space="preserve"> </w:t>
            </w:r>
          </w:p>
        </w:tc>
        <w:tc>
          <w:tcPr>
            <w:tcW w:w="2589" w:type="dxa"/>
          </w:tcPr>
          <w:p w14:paraId="2AD14F07" w14:textId="77777777" w:rsidR="00F64360" w:rsidRDefault="00F64360" w:rsidP="007C294F"/>
        </w:tc>
      </w:tr>
      <w:tr w:rsidR="00F0504E" w14:paraId="072ABF4D" w14:textId="77777777" w:rsidTr="007C294F">
        <w:tc>
          <w:tcPr>
            <w:tcW w:w="12950" w:type="dxa"/>
            <w:gridSpan w:val="2"/>
            <w:shd w:val="clear" w:color="auto" w:fill="A3DBDC"/>
          </w:tcPr>
          <w:p w14:paraId="7D036AF2" w14:textId="37B72C98" w:rsidR="00F0504E" w:rsidRDefault="00F0504E" w:rsidP="007C294F">
            <w:pPr>
              <w:pStyle w:val="Heading3"/>
            </w:pPr>
            <w:r w:rsidRPr="008E404F">
              <w:lastRenderedPageBreak/>
              <w:t>Course Menu &amp; Navigation</w:t>
            </w:r>
          </w:p>
        </w:tc>
      </w:tr>
      <w:tr w:rsidR="00F64360" w14:paraId="6B6407BB" w14:textId="77777777" w:rsidTr="4B10496F">
        <w:tc>
          <w:tcPr>
            <w:tcW w:w="10361" w:type="dxa"/>
          </w:tcPr>
          <w:p w14:paraId="0DF9AA58" w14:textId="50072DE8" w:rsidR="00F64360" w:rsidRPr="009E2CB3" w:rsidRDefault="00F64360" w:rsidP="007C294F">
            <w:pPr>
              <w:rPr>
                <w:b/>
                <w:bCs/>
              </w:rPr>
            </w:pPr>
            <w:r w:rsidRPr="007C294F">
              <w:rPr>
                <w:rStyle w:val="Strong"/>
                <w:b w:val="0"/>
                <w:bCs w:val="0"/>
              </w:rPr>
              <w:t>Review Course Structure:</w:t>
            </w:r>
            <w:r>
              <w:rPr>
                <w:b/>
                <w:bCs/>
              </w:rPr>
              <w:t xml:space="preserve"> </w:t>
            </w:r>
            <w:r w:rsidRPr="0006109E">
              <w:t xml:space="preserve">The way </w:t>
            </w:r>
            <w:r w:rsidR="007A207D">
              <w:t>items are structured and presented in Ultra courses</w:t>
            </w:r>
            <w:r w:rsidRPr="0006109E">
              <w:t xml:space="preserve"> is different </w:t>
            </w:r>
            <w:r w:rsidR="006D751E">
              <w:t>when compared to</w:t>
            </w:r>
            <w:r w:rsidRPr="0006109E">
              <w:t xml:space="preserve"> </w:t>
            </w:r>
            <w:r w:rsidR="006D751E">
              <w:t>Original</w:t>
            </w:r>
            <w:r>
              <w:t xml:space="preserve"> courses</w:t>
            </w:r>
            <w:r w:rsidRPr="0006109E">
              <w:t>.</w:t>
            </w:r>
            <w:r>
              <w:rPr>
                <w:b/>
                <w:bCs/>
              </w:rPr>
              <w:t xml:space="preserve"> </w:t>
            </w:r>
            <w:r w:rsidRPr="0006109E">
              <w:t xml:space="preserve">Use Student Preview to </w:t>
            </w:r>
            <w:r>
              <w:t>navigate</w:t>
            </w:r>
            <w:r w:rsidRPr="0006109E">
              <w:t xml:space="preserve"> through the course and see if you need to restructure your course content to provide a better student experience.</w:t>
            </w:r>
            <w:r w:rsidR="007A207D">
              <w:t xml:space="preserve"> You may </w:t>
            </w:r>
            <w:r w:rsidR="006D751E">
              <w:t>want</w:t>
            </w:r>
            <w:r w:rsidR="007A207D">
              <w:t xml:space="preserve"> to consolidate items</w:t>
            </w:r>
            <w:r w:rsidR="006D751E">
              <w:t xml:space="preserve"> to reduce the number of items students need to open.</w:t>
            </w:r>
            <w:r w:rsidR="006D68EB">
              <w:t xml:space="preserve"> </w:t>
            </w:r>
            <w:hyperlink r:id="rId12" w:history="1">
              <w:r w:rsidR="006D68EB" w:rsidRPr="006D68EB">
                <w:rPr>
                  <w:rStyle w:val="Hyperlink"/>
                </w:rPr>
                <w:t>Learn more.</w:t>
              </w:r>
            </w:hyperlink>
          </w:p>
        </w:tc>
        <w:tc>
          <w:tcPr>
            <w:tcW w:w="2589" w:type="dxa"/>
          </w:tcPr>
          <w:p w14:paraId="3E089C61" w14:textId="77777777" w:rsidR="00F64360" w:rsidRDefault="00F64360" w:rsidP="007C294F"/>
        </w:tc>
      </w:tr>
      <w:tr w:rsidR="00F64360" w14:paraId="352E7332" w14:textId="77777777" w:rsidTr="4B10496F">
        <w:tc>
          <w:tcPr>
            <w:tcW w:w="10361" w:type="dxa"/>
          </w:tcPr>
          <w:p w14:paraId="7789909C" w14:textId="52F977D6" w:rsidR="00F64360" w:rsidRDefault="00F64360" w:rsidP="007C294F">
            <w:r w:rsidRPr="001402EF">
              <w:rPr>
                <w:rStyle w:val="Strong"/>
                <w:b w:val="0"/>
                <w:bCs w:val="0"/>
              </w:rPr>
              <w:t>Organize Moved Items:</w:t>
            </w:r>
            <w:r>
              <w:t xml:space="preserve"> If you had content that was deeply nested in your Original Course (more than two or three levels of depth) you will see that they have been moved.</w:t>
            </w:r>
            <w:r w:rsidR="00961C08">
              <w:t xml:space="preserve"> Learning Modules can no longer be nested and have been moved to the highest level of the course content page.</w:t>
            </w:r>
            <w:r>
              <w:t xml:space="preserve"> Review and move </w:t>
            </w:r>
            <w:r w:rsidR="00627BB0">
              <w:t>the items</w:t>
            </w:r>
            <w:r>
              <w:t xml:space="preserve"> as needed.</w:t>
            </w:r>
            <w:r w:rsidR="0043288E">
              <w:t xml:space="preserve"> </w:t>
            </w:r>
            <w:hyperlink r:id="rId13" w:history="1">
              <w:r w:rsidR="0043288E" w:rsidRPr="0043288E">
                <w:rPr>
                  <w:rStyle w:val="Hyperlink"/>
                </w:rPr>
                <w:t>Learn more.</w:t>
              </w:r>
            </w:hyperlink>
          </w:p>
        </w:tc>
        <w:tc>
          <w:tcPr>
            <w:tcW w:w="2589" w:type="dxa"/>
          </w:tcPr>
          <w:p w14:paraId="737D9E4A" w14:textId="77777777" w:rsidR="00F64360" w:rsidRDefault="00F64360" w:rsidP="007C294F"/>
        </w:tc>
      </w:tr>
      <w:tr w:rsidR="00F0504E" w14:paraId="0DDDEC29" w14:textId="77777777" w:rsidTr="007C294F">
        <w:tc>
          <w:tcPr>
            <w:tcW w:w="12950" w:type="dxa"/>
            <w:gridSpan w:val="2"/>
            <w:shd w:val="clear" w:color="auto" w:fill="A3DBDC"/>
          </w:tcPr>
          <w:p w14:paraId="4ECC4773" w14:textId="3091A533" w:rsidR="00F0504E" w:rsidRDefault="407EF701" w:rsidP="007C294F">
            <w:pPr>
              <w:pStyle w:val="Heading3"/>
            </w:pPr>
            <w:r w:rsidRPr="4B10496F">
              <w:t>Course Content</w:t>
            </w:r>
          </w:p>
        </w:tc>
      </w:tr>
      <w:tr w:rsidR="00F64360" w14:paraId="3AD8E82F" w14:textId="77777777" w:rsidTr="4B10496F">
        <w:tc>
          <w:tcPr>
            <w:tcW w:w="10361" w:type="dxa"/>
          </w:tcPr>
          <w:p w14:paraId="78D00920" w14:textId="399820C3" w:rsidR="00F64360" w:rsidRPr="006B4A9E" w:rsidRDefault="60347145" w:rsidP="007C294F">
            <w:pPr>
              <w:rPr>
                <w:b/>
                <w:bCs/>
              </w:rPr>
            </w:pPr>
            <w:r w:rsidRPr="007C294F">
              <w:rPr>
                <w:rStyle w:val="Strong"/>
                <w:b w:val="0"/>
                <w:bCs w:val="0"/>
              </w:rPr>
              <w:t>Replace Top-Level Folders for Learning Modules:</w:t>
            </w:r>
            <w:r>
              <w:t xml:space="preserve"> Course navigation is a much better experience for students when content items are contained within Learning Modules. You may want to recreate top-level folders as Learning Modules and move the content inside of the folder into the newly created Learning Module.</w:t>
            </w:r>
            <w:r w:rsidRPr="4B10496F">
              <w:rPr>
                <w:b/>
                <w:bCs/>
              </w:rPr>
              <w:t xml:space="preserve"> </w:t>
            </w:r>
            <w:r w:rsidR="00141818">
              <w:rPr>
                <w:b/>
                <w:bCs/>
              </w:rPr>
              <w:br/>
            </w:r>
            <w:r>
              <w:t>You can use Student Preview to see the different navigation experience between Folders and Learning Modules.</w:t>
            </w:r>
            <w:r w:rsidR="11862B81">
              <w:t xml:space="preserve"> </w:t>
            </w:r>
            <w:hyperlink r:id="rId14">
              <w:r w:rsidR="11862B81" w:rsidRPr="4B10496F">
                <w:rPr>
                  <w:rStyle w:val="Hyperlink"/>
                </w:rPr>
                <w:t>Learn more.</w:t>
              </w:r>
            </w:hyperlink>
          </w:p>
        </w:tc>
        <w:tc>
          <w:tcPr>
            <w:tcW w:w="2589" w:type="dxa"/>
          </w:tcPr>
          <w:p w14:paraId="5FFAFD6B" w14:textId="77777777" w:rsidR="00F64360" w:rsidRDefault="00F64360" w:rsidP="007C294F"/>
        </w:tc>
      </w:tr>
      <w:tr w:rsidR="00F64360" w14:paraId="79204DE9" w14:textId="77777777" w:rsidTr="4B10496F">
        <w:tc>
          <w:tcPr>
            <w:tcW w:w="10361" w:type="dxa"/>
          </w:tcPr>
          <w:p w14:paraId="15B98B28" w14:textId="506FE30D" w:rsidR="00F64360" w:rsidRDefault="00F64360" w:rsidP="007C294F">
            <w:r w:rsidRPr="007C294F">
              <w:rPr>
                <w:rStyle w:val="Strong"/>
                <w:b w:val="0"/>
                <w:bCs w:val="0"/>
              </w:rPr>
              <w:t>Review Formatting:</w:t>
            </w:r>
            <w:r>
              <w:t xml:space="preserve"> Font</w:t>
            </w:r>
            <w:r w:rsidRPr="00554394">
              <w:t xml:space="preserve"> style, size</w:t>
            </w:r>
            <w:r>
              <w:t>,</w:t>
            </w:r>
            <w:r w:rsidRPr="00554394">
              <w:t xml:space="preserve"> and color can </w:t>
            </w:r>
            <w:r>
              <w:t>change</w:t>
            </w:r>
            <w:r w:rsidRPr="00554394">
              <w:t xml:space="preserve"> during the conversion process</w:t>
            </w:r>
            <w:r>
              <w:t xml:space="preserve"> because there is a difference in options between original and ultra courses. You may want to review and adjust the formatting as needed.</w:t>
            </w:r>
            <w:r w:rsidR="00F36137">
              <w:t xml:space="preserve"> </w:t>
            </w:r>
          </w:p>
        </w:tc>
        <w:tc>
          <w:tcPr>
            <w:tcW w:w="2589" w:type="dxa"/>
          </w:tcPr>
          <w:p w14:paraId="0A1C4218" w14:textId="77777777" w:rsidR="00F64360" w:rsidRDefault="00F64360" w:rsidP="007C294F"/>
        </w:tc>
      </w:tr>
      <w:tr w:rsidR="00F64360" w14:paraId="3F39C985" w14:textId="77777777" w:rsidTr="4B10496F">
        <w:tc>
          <w:tcPr>
            <w:tcW w:w="10361" w:type="dxa"/>
          </w:tcPr>
          <w:p w14:paraId="34AE976F" w14:textId="5707A631" w:rsidR="00C6321A" w:rsidRPr="00BE0133" w:rsidRDefault="00F64360" w:rsidP="007C294F">
            <w:r w:rsidRPr="007C294F">
              <w:rPr>
                <w:rStyle w:val="Strong"/>
                <w:b w:val="0"/>
                <w:bCs w:val="0"/>
              </w:rPr>
              <w:t>Review Third-Party Integrations:</w:t>
            </w:r>
            <w:r>
              <w:rPr>
                <w:b/>
                <w:bCs/>
              </w:rPr>
              <w:t xml:space="preserve"> </w:t>
            </w:r>
            <w:r w:rsidR="006712BF">
              <w:t>Please review the placements for all publisher material, Panopto Video, Turnitin and all other third-party content</w:t>
            </w:r>
            <w:r w:rsidRPr="002E1559">
              <w:t>. You may also want to review any converted LTI items to ensure that they’re working as expected.</w:t>
            </w:r>
            <w:r w:rsidR="00C6321A">
              <w:t xml:space="preserve"> </w:t>
            </w:r>
            <w:hyperlink r:id="rId15" w:history="1">
              <w:r w:rsidR="00C6321A" w:rsidRPr="00C6321A">
                <w:rPr>
                  <w:rStyle w:val="Hyperlink"/>
                </w:rPr>
                <w:t>Learn more.</w:t>
              </w:r>
            </w:hyperlink>
            <w:r w:rsidR="00662981">
              <w:rPr>
                <w:rStyle w:val="Hyperlink"/>
              </w:rPr>
              <w:t xml:space="preserve"> </w:t>
            </w:r>
          </w:p>
        </w:tc>
        <w:tc>
          <w:tcPr>
            <w:tcW w:w="2589" w:type="dxa"/>
          </w:tcPr>
          <w:p w14:paraId="28F44CFA" w14:textId="77777777" w:rsidR="00F64360" w:rsidRDefault="00F64360" w:rsidP="007C294F"/>
        </w:tc>
      </w:tr>
    </w:tbl>
    <w:p w14:paraId="704E8705" w14:textId="498F6820" w:rsidR="00141818" w:rsidRDefault="00141818"/>
    <w:p w14:paraId="234C8B72" w14:textId="77777777" w:rsidR="00BE0133" w:rsidRDefault="00BE0133"/>
    <w:p w14:paraId="54F4C79D" w14:textId="77777777" w:rsidR="00BE0133" w:rsidRDefault="00BE0133"/>
    <w:tbl>
      <w:tblPr>
        <w:tblStyle w:val="TableGrid"/>
        <w:tblW w:w="5000" w:type="pct"/>
        <w:tblLook w:val="04A0" w:firstRow="1" w:lastRow="0" w:firstColumn="1" w:lastColumn="0" w:noHBand="0" w:noVBand="1"/>
      </w:tblPr>
      <w:tblGrid>
        <w:gridCol w:w="10361"/>
        <w:gridCol w:w="2589"/>
      </w:tblGrid>
      <w:tr w:rsidR="00F64360" w14:paraId="508BCD5A" w14:textId="77777777" w:rsidTr="4B10496F">
        <w:tc>
          <w:tcPr>
            <w:tcW w:w="10361" w:type="dxa"/>
          </w:tcPr>
          <w:p w14:paraId="00D9AB95" w14:textId="77777777" w:rsidR="00141818" w:rsidRDefault="00F64360" w:rsidP="00141818">
            <w:pPr>
              <w:rPr>
                <w:rStyle w:val="Hyperlink"/>
              </w:rPr>
            </w:pPr>
            <w:r w:rsidRPr="007C294F">
              <w:rPr>
                <w:rStyle w:val="Strong"/>
                <w:b w:val="0"/>
                <w:bCs w:val="0"/>
              </w:rPr>
              <w:lastRenderedPageBreak/>
              <w:t>Rebuild HTML Objects:</w:t>
            </w:r>
            <w:r>
              <w:rPr>
                <w:b/>
                <w:bCs/>
              </w:rPr>
              <w:t xml:space="preserve"> </w:t>
            </w:r>
            <w:r w:rsidRPr="0096253B">
              <w:t xml:space="preserve">Use </w:t>
            </w:r>
            <w:r w:rsidR="00C214ED">
              <w:t>HTML Objects</w:t>
            </w:r>
            <w:r w:rsidRPr="0096253B">
              <w:t xml:space="preserve"> inside of Documents to </w:t>
            </w:r>
            <w:r w:rsidR="00C214ED">
              <w:t>rebuild</w:t>
            </w:r>
            <w:r w:rsidRPr="0096253B">
              <w:t xml:space="preserve"> HTML that did not come over during the conversion process.</w:t>
            </w:r>
            <w:r w:rsidR="00FD2FDC">
              <w:t xml:space="preserve"> </w:t>
            </w:r>
            <w:hyperlink r:id="rId16" w:history="1">
              <w:r w:rsidR="00FD2FDC" w:rsidRPr="00FD2FDC">
                <w:rPr>
                  <w:rStyle w:val="Hyperlink"/>
                </w:rPr>
                <w:t>Learn more.</w:t>
              </w:r>
            </w:hyperlink>
          </w:p>
          <w:p w14:paraId="53C6C741" w14:textId="7B1C1EE2" w:rsidR="00EB5781" w:rsidRPr="00141818" w:rsidRDefault="00EB5781" w:rsidP="00141818">
            <w:r w:rsidRPr="001402EF">
              <w:rPr>
                <w:rStyle w:val="Strong"/>
                <w:b w:val="0"/>
                <w:bCs w:val="0"/>
                <w:i/>
                <w:iCs/>
              </w:rPr>
              <w:t>Note:</w:t>
            </w:r>
            <w:r w:rsidRPr="00EB5781">
              <w:rPr>
                <w:b/>
                <w:bCs/>
              </w:rPr>
              <w:t xml:space="preserve"> </w:t>
            </w:r>
            <w:r w:rsidRPr="00EB5781">
              <w:t>A Blackboard Administrator needs to turn on this open before it becomes available for instructor use.</w:t>
            </w:r>
            <w:r>
              <w:t xml:space="preserve"> Some institutions intentionally keep this turned off to ensure that content is more accessible</w:t>
            </w:r>
            <w:r w:rsidR="00064E98">
              <w:t xml:space="preserve"> by encouraging content authoring using the content editor inside of courses.</w:t>
            </w:r>
          </w:p>
        </w:tc>
        <w:tc>
          <w:tcPr>
            <w:tcW w:w="2589" w:type="dxa"/>
          </w:tcPr>
          <w:p w14:paraId="0BD6F543" w14:textId="77777777" w:rsidR="00F64360" w:rsidRDefault="00F64360" w:rsidP="007C294F"/>
        </w:tc>
      </w:tr>
      <w:tr w:rsidR="00F64360" w14:paraId="54B4DCCD" w14:textId="77777777" w:rsidTr="4B10496F">
        <w:tc>
          <w:tcPr>
            <w:tcW w:w="10361" w:type="dxa"/>
          </w:tcPr>
          <w:p w14:paraId="367DE677" w14:textId="20987F1C" w:rsidR="00F64360" w:rsidRPr="006B4A9E" w:rsidRDefault="00F64360" w:rsidP="007C294F">
            <w:pPr>
              <w:rPr>
                <w:b/>
                <w:bCs/>
              </w:rPr>
            </w:pPr>
            <w:r w:rsidRPr="001402EF">
              <w:rPr>
                <w:rStyle w:val="Strong"/>
              </w:rPr>
              <w:t>Update Due Dates:</w:t>
            </w:r>
            <w:r>
              <w:rPr>
                <w:b/>
                <w:bCs/>
              </w:rPr>
              <w:t xml:space="preserve"> </w:t>
            </w:r>
            <w:r w:rsidR="00CE03BD" w:rsidRPr="00CE03BD">
              <w:t>Due dates and times used in your Original course are preserved during the conversion process. You will want to update the due date and time for all items in your course</w:t>
            </w:r>
            <w:r w:rsidR="00CE03BD">
              <w:t xml:space="preserve">. </w:t>
            </w:r>
            <w:r w:rsidR="008D331E">
              <w:t xml:space="preserve">If you do not do this, student’s will receive </w:t>
            </w:r>
            <w:r w:rsidR="00CE03BD" w:rsidRPr="00CE03BD">
              <w:t xml:space="preserve">past due notifications upon enrollment into </w:t>
            </w:r>
            <w:r w:rsidR="008D331E">
              <w:t>your</w:t>
            </w:r>
            <w:r w:rsidR="00CE03BD" w:rsidRPr="00CE03BD">
              <w:t xml:space="preserve"> course.</w:t>
            </w:r>
          </w:p>
        </w:tc>
        <w:tc>
          <w:tcPr>
            <w:tcW w:w="2589" w:type="dxa"/>
          </w:tcPr>
          <w:p w14:paraId="16FF2180" w14:textId="77777777" w:rsidR="00F64360" w:rsidRDefault="00F64360" w:rsidP="007C294F"/>
        </w:tc>
      </w:tr>
      <w:tr w:rsidR="00F64360" w14:paraId="179B79C3" w14:textId="77777777" w:rsidTr="4B10496F">
        <w:tc>
          <w:tcPr>
            <w:tcW w:w="10361" w:type="dxa"/>
          </w:tcPr>
          <w:p w14:paraId="214AD757" w14:textId="79F84C69" w:rsidR="00F64360" w:rsidRPr="006B4A9E" w:rsidRDefault="0048209D" w:rsidP="007C294F">
            <w:pPr>
              <w:rPr>
                <w:b/>
                <w:bCs/>
              </w:rPr>
            </w:pPr>
            <w:r w:rsidRPr="001402EF">
              <w:rPr>
                <w:rStyle w:val="Strong"/>
                <w:b w:val="0"/>
                <w:bCs w:val="0"/>
              </w:rPr>
              <w:t>Configure</w:t>
            </w:r>
            <w:r w:rsidR="00F64360" w:rsidRPr="001402EF">
              <w:rPr>
                <w:rStyle w:val="Strong"/>
                <w:b w:val="0"/>
                <w:bCs w:val="0"/>
              </w:rPr>
              <w:t xml:space="preserve"> Conversations:</w:t>
            </w:r>
            <w:r>
              <w:rPr>
                <w:b/>
                <w:bCs/>
              </w:rPr>
              <w:t xml:space="preserve"> </w:t>
            </w:r>
            <w:r w:rsidRPr="00790A17">
              <w:t xml:space="preserve">You may want to enable conversations on </w:t>
            </w:r>
            <w:r w:rsidR="00790A17" w:rsidRPr="00790A17">
              <w:t xml:space="preserve">items on your course content page. Conversations allow students to have a conversation within the context of an item. </w:t>
            </w:r>
            <w:hyperlink r:id="rId17" w:history="1">
              <w:r w:rsidR="00790A17" w:rsidRPr="00790A17">
                <w:rPr>
                  <w:rStyle w:val="Hyperlink"/>
                </w:rPr>
                <w:t>Learn more.</w:t>
              </w:r>
            </w:hyperlink>
          </w:p>
        </w:tc>
        <w:tc>
          <w:tcPr>
            <w:tcW w:w="2589" w:type="dxa"/>
          </w:tcPr>
          <w:p w14:paraId="4F33F71A" w14:textId="77777777" w:rsidR="00F64360" w:rsidRDefault="00F64360" w:rsidP="007C294F"/>
        </w:tc>
      </w:tr>
      <w:tr w:rsidR="00F64360" w14:paraId="16E0A95F" w14:textId="77777777" w:rsidTr="007C294F">
        <w:tc>
          <w:tcPr>
            <w:tcW w:w="12950" w:type="dxa"/>
            <w:gridSpan w:val="2"/>
            <w:shd w:val="clear" w:color="auto" w:fill="A3DBDC"/>
          </w:tcPr>
          <w:p w14:paraId="04B46057" w14:textId="131F043A" w:rsidR="00F64360" w:rsidRDefault="00F64360" w:rsidP="007C294F">
            <w:pPr>
              <w:pStyle w:val="Heading3"/>
            </w:pPr>
            <w:r w:rsidRPr="00927C50">
              <w:t>Course Image</w:t>
            </w:r>
          </w:p>
        </w:tc>
      </w:tr>
      <w:tr w:rsidR="00F64360" w14:paraId="7971AA19" w14:textId="77777777" w:rsidTr="4B10496F">
        <w:tc>
          <w:tcPr>
            <w:tcW w:w="10361" w:type="dxa"/>
          </w:tcPr>
          <w:p w14:paraId="53B7BA4B" w14:textId="034BF8AA" w:rsidR="00F64360" w:rsidRDefault="00F64360" w:rsidP="007C294F">
            <w:r w:rsidRPr="001402EF">
              <w:rPr>
                <w:rStyle w:val="Strong"/>
                <w:b w:val="0"/>
                <w:bCs w:val="0"/>
              </w:rPr>
              <w:t>Add or Update Course Image:</w:t>
            </w:r>
            <w:r>
              <w:rPr>
                <w:b/>
                <w:bCs/>
              </w:rPr>
              <w:t xml:space="preserve"> </w:t>
            </w:r>
            <w:r w:rsidRPr="00752527">
              <w:t>You can personalize your course by uploading a Course Image to display at the top of your course.</w:t>
            </w:r>
            <w:r>
              <w:t xml:space="preserve"> Images should be 1200 x 240 pixels. Keep in mind, images with text don’t scale well. You can use </w:t>
            </w:r>
            <w:r w:rsidR="00B22DB6">
              <w:t xml:space="preserve">an image editing tool such as </w:t>
            </w:r>
            <w:r>
              <w:t xml:space="preserve">Canva.com to create a custom 1200 x 240 pixel image without professional editing skills. </w:t>
            </w:r>
            <w:hyperlink r:id="rId18" w:history="1">
              <w:r w:rsidRPr="002D0475">
                <w:rPr>
                  <w:rStyle w:val="Hyperlink"/>
                </w:rPr>
                <w:t>Learn more.</w:t>
              </w:r>
            </w:hyperlink>
          </w:p>
          <w:p w14:paraId="547B1643" w14:textId="7CE7CD46" w:rsidR="00F64360" w:rsidRPr="00B96A98" w:rsidRDefault="00F64360" w:rsidP="007C294F">
            <w:pPr>
              <w:rPr>
                <w:b/>
                <w:bCs/>
              </w:rPr>
            </w:pPr>
            <w:r w:rsidRPr="009F10E1">
              <w:rPr>
                <w:rStyle w:val="Strong"/>
                <w:b w:val="0"/>
                <w:bCs w:val="0"/>
                <w:i/>
                <w:iCs/>
              </w:rPr>
              <w:t>Note:</w:t>
            </w:r>
            <w:r w:rsidRPr="001402EF">
              <w:rPr>
                <w:rStyle w:val="Strong"/>
                <w:b w:val="0"/>
                <w:bCs w:val="0"/>
              </w:rPr>
              <w:t xml:space="preserve"> </w:t>
            </w:r>
            <w:r w:rsidRPr="00B96A98">
              <w:t xml:space="preserve">If your original course had a course banner, it will be brought over during the conversion process. However, the Course Banner dimensions in the Original Course View are different than those in Ultra courses. You should review and update </w:t>
            </w:r>
            <w:r>
              <w:t xml:space="preserve">the course image </w:t>
            </w:r>
            <w:r w:rsidRPr="00B96A98">
              <w:t>as needed.</w:t>
            </w:r>
          </w:p>
        </w:tc>
        <w:tc>
          <w:tcPr>
            <w:tcW w:w="2589" w:type="dxa"/>
          </w:tcPr>
          <w:p w14:paraId="1111F85C" w14:textId="77777777" w:rsidR="00F64360" w:rsidRDefault="00F64360" w:rsidP="007C294F"/>
        </w:tc>
      </w:tr>
      <w:tr w:rsidR="00F0504E" w14:paraId="14F98A48" w14:textId="77777777" w:rsidTr="007C294F">
        <w:tc>
          <w:tcPr>
            <w:tcW w:w="12950" w:type="dxa"/>
            <w:gridSpan w:val="2"/>
            <w:shd w:val="clear" w:color="auto" w:fill="A3DBDC"/>
          </w:tcPr>
          <w:p w14:paraId="4036E4EF" w14:textId="06050A9F" w:rsidR="00F0504E" w:rsidRDefault="407EF701" w:rsidP="007C294F">
            <w:pPr>
              <w:pStyle w:val="Heading3"/>
            </w:pPr>
            <w:r w:rsidRPr="4B10496F">
              <w:t>Discussions</w:t>
            </w:r>
          </w:p>
        </w:tc>
      </w:tr>
      <w:tr w:rsidR="00F64360" w14:paraId="0754145A" w14:textId="77777777" w:rsidTr="4B10496F">
        <w:tc>
          <w:tcPr>
            <w:tcW w:w="10361" w:type="dxa"/>
          </w:tcPr>
          <w:p w14:paraId="443A9D62" w14:textId="15C65E9F" w:rsidR="00F64360" w:rsidRDefault="00790A17" w:rsidP="007C294F">
            <w:r w:rsidRPr="001402EF">
              <w:rPr>
                <w:rStyle w:val="Strong"/>
                <w:b w:val="0"/>
                <w:bCs w:val="0"/>
              </w:rPr>
              <w:t>Review Discussions Tab</w:t>
            </w:r>
            <w:r w:rsidR="00F64360" w:rsidRPr="001402EF">
              <w:rPr>
                <w:rStyle w:val="Strong"/>
                <w:b w:val="0"/>
                <w:bCs w:val="0"/>
              </w:rPr>
              <w:t>:</w:t>
            </w:r>
            <w:r w:rsidR="00F64360">
              <w:t xml:space="preserve"> Navigate to the Discussions Tab and review the structure of items. You may want to move Discussions outside of folders and delete the folders.</w:t>
            </w:r>
            <w:r w:rsidR="00B2563A">
              <w:t xml:space="preserve"> </w:t>
            </w:r>
            <w:r w:rsidR="00031381">
              <w:t>In some courses, having</w:t>
            </w:r>
            <w:r w:rsidR="00B2563A">
              <w:t xml:space="preserve"> a flat list of discussions can make it easier for </w:t>
            </w:r>
            <w:r w:rsidR="00031381">
              <w:t>students to find the discussion they’re looking for.</w:t>
            </w:r>
          </w:p>
        </w:tc>
        <w:tc>
          <w:tcPr>
            <w:tcW w:w="2589" w:type="dxa"/>
          </w:tcPr>
          <w:p w14:paraId="17B49F68" w14:textId="77777777" w:rsidR="00F64360" w:rsidRDefault="00F64360" w:rsidP="007C294F"/>
        </w:tc>
      </w:tr>
    </w:tbl>
    <w:p w14:paraId="3939BE39" w14:textId="2A581C5E" w:rsidR="00141818" w:rsidRPr="009F3C07" w:rsidRDefault="00141818">
      <w:pPr>
        <w:rPr>
          <w:color w:val="000000" w:themeColor="text1"/>
        </w:rPr>
      </w:pPr>
    </w:p>
    <w:tbl>
      <w:tblPr>
        <w:tblStyle w:val="TableGrid"/>
        <w:tblW w:w="5000" w:type="pct"/>
        <w:tblLook w:val="04A0" w:firstRow="1" w:lastRow="0" w:firstColumn="1" w:lastColumn="0" w:noHBand="0" w:noVBand="1"/>
      </w:tblPr>
      <w:tblGrid>
        <w:gridCol w:w="10361"/>
        <w:gridCol w:w="2589"/>
      </w:tblGrid>
      <w:tr w:rsidR="00F0504E" w14:paraId="50402CE9" w14:textId="77777777" w:rsidTr="007C294F">
        <w:tc>
          <w:tcPr>
            <w:tcW w:w="12950" w:type="dxa"/>
            <w:gridSpan w:val="2"/>
            <w:shd w:val="clear" w:color="auto" w:fill="A3DBDC"/>
          </w:tcPr>
          <w:p w14:paraId="44176310" w14:textId="7EE884C0" w:rsidR="00F0504E" w:rsidRDefault="407EF701" w:rsidP="007C294F">
            <w:pPr>
              <w:pStyle w:val="Heading3"/>
            </w:pPr>
            <w:r w:rsidRPr="4B10496F">
              <w:lastRenderedPageBreak/>
              <w:t>Gradebook</w:t>
            </w:r>
          </w:p>
        </w:tc>
      </w:tr>
      <w:tr w:rsidR="00F64360" w14:paraId="198537C7" w14:textId="77777777" w:rsidTr="4B10496F">
        <w:tc>
          <w:tcPr>
            <w:tcW w:w="10361" w:type="dxa"/>
          </w:tcPr>
          <w:p w14:paraId="45050A81" w14:textId="57AF0744" w:rsidR="00F64360" w:rsidRPr="00CC4899" w:rsidRDefault="00F64360" w:rsidP="007C294F">
            <w:pPr>
              <w:rPr>
                <w:b/>
                <w:bCs/>
              </w:rPr>
            </w:pPr>
            <w:r w:rsidRPr="001402EF">
              <w:rPr>
                <w:rStyle w:val="Strong"/>
              </w:rPr>
              <w:t>Configure Overall Grade Column:</w:t>
            </w:r>
            <w:r>
              <w:rPr>
                <w:b/>
                <w:bCs/>
              </w:rPr>
              <w:t xml:space="preserve"> </w:t>
            </w:r>
            <w:r w:rsidRPr="00C61A66">
              <w:t xml:space="preserve">Weighted and Total columns </w:t>
            </w:r>
            <w:r>
              <w:t>are dropped during the conversion process</w:t>
            </w:r>
            <w:r w:rsidRPr="00C61A66">
              <w:t>.</w:t>
            </w:r>
            <w:r>
              <w:t xml:space="preserve"> Ultra courses use an Overall Grade column to calculate final grades.</w:t>
            </w:r>
            <w:r>
              <w:rPr>
                <w:b/>
                <w:bCs/>
              </w:rPr>
              <w:t xml:space="preserve"> </w:t>
            </w:r>
            <w:r w:rsidRPr="00836CE3">
              <w:t xml:space="preserve">You can </w:t>
            </w:r>
            <w:r>
              <w:t xml:space="preserve">configure the Overall Grade calculation to use points, percentages, or a custom formula. </w:t>
            </w:r>
            <w:hyperlink r:id="rId19" w:history="1">
              <w:r w:rsidRPr="008F757F">
                <w:rPr>
                  <w:rStyle w:val="Hyperlink"/>
                </w:rPr>
                <w:t>Learn more.</w:t>
              </w:r>
            </w:hyperlink>
          </w:p>
        </w:tc>
        <w:tc>
          <w:tcPr>
            <w:tcW w:w="2589" w:type="dxa"/>
          </w:tcPr>
          <w:p w14:paraId="6D70C011" w14:textId="77777777" w:rsidR="00F64360" w:rsidRDefault="00F64360" w:rsidP="007C294F"/>
        </w:tc>
      </w:tr>
      <w:tr w:rsidR="00F64360" w14:paraId="1150A51A" w14:textId="77777777" w:rsidTr="4B10496F">
        <w:tc>
          <w:tcPr>
            <w:tcW w:w="10361" w:type="dxa"/>
          </w:tcPr>
          <w:p w14:paraId="4BC4DF86" w14:textId="5A645578" w:rsidR="00F64360" w:rsidRDefault="00F64360" w:rsidP="007C294F">
            <w:pPr>
              <w:rPr>
                <w:b/>
                <w:bCs/>
              </w:rPr>
            </w:pPr>
            <w:r w:rsidRPr="001402EF">
              <w:rPr>
                <w:rStyle w:val="Strong"/>
              </w:rPr>
              <w:t>Configure Automatic Zeros:</w:t>
            </w:r>
            <w:r>
              <w:rPr>
                <w:b/>
                <w:bCs/>
              </w:rPr>
              <w:t xml:space="preserve"> </w:t>
            </w:r>
            <w:r w:rsidRPr="000B77B3">
              <w:t>You have the choice to assign automatic zeros for past due work. If selected, students will receive a zero for any assessment that does not have a submission by its due date and time.</w:t>
            </w:r>
            <w:r>
              <w:t xml:space="preserve"> </w:t>
            </w:r>
            <w:hyperlink r:id="rId20" w:anchor=":~:text=Assign%20automatic%20zeros,past%20due%20work%20check%20box." w:history="1">
              <w:r w:rsidRPr="00307ABF">
                <w:rPr>
                  <w:rStyle w:val="Hyperlink"/>
                </w:rPr>
                <w:t>Learn more.</w:t>
              </w:r>
            </w:hyperlink>
          </w:p>
        </w:tc>
        <w:tc>
          <w:tcPr>
            <w:tcW w:w="2589" w:type="dxa"/>
          </w:tcPr>
          <w:p w14:paraId="5ABFF617" w14:textId="77777777" w:rsidR="00F64360" w:rsidRDefault="00F64360" w:rsidP="007C294F"/>
        </w:tc>
      </w:tr>
      <w:tr w:rsidR="00F0504E" w14:paraId="0203131D" w14:textId="77777777" w:rsidTr="007C294F">
        <w:tc>
          <w:tcPr>
            <w:tcW w:w="12950" w:type="dxa"/>
            <w:gridSpan w:val="2"/>
            <w:shd w:val="clear" w:color="auto" w:fill="A3DBDC"/>
          </w:tcPr>
          <w:p w14:paraId="2211053F" w14:textId="6D1C98DA" w:rsidR="00F0504E" w:rsidRDefault="00F0504E" w:rsidP="007C294F">
            <w:pPr>
              <w:pStyle w:val="Heading3"/>
            </w:pPr>
            <w:r w:rsidRPr="00C065A7">
              <w:t>Release Conditions</w:t>
            </w:r>
          </w:p>
        </w:tc>
      </w:tr>
      <w:tr w:rsidR="00F64360" w14:paraId="4D862664" w14:textId="77777777" w:rsidTr="4B10496F">
        <w:tc>
          <w:tcPr>
            <w:tcW w:w="10361" w:type="dxa"/>
          </w:tcPr>
          <w:p w14:paraId="64EC25EA" w14:textId="577796E7" w:rsidR="00F64360" w:rsidRPr="00CC4899" w:rsidRDefault="00F64360" w:rsidP="007C294F">
            <w:pPr>
              <w:rPr>
                <w:b/>
                <w:bCs/>
              </w:rPr>
            </w:pPr>
            <w:r w:rsidRPr="001402EF">
              <w:rPr>
                <w:rStyle w:val="Strong"/>
              </w:rPr>
              <w:t>Batch Edit Release Conditions:</w:t>
            </w:r>
            <w:r>
              <w:rPr>
                <w:b/>
                <w:bCs/>
              </w:rPr>
              <w:t xml:space="preserve"> </w:t>
            </w:r>
            <w:r w:rsidR="008C5A50" w:rsidRPr="008C5A50">
              <w:t>R</w:t>
            </w:r>
            <w:r w:rsidRPr="008C5A50">
              <w:t>elease conditions</w:t>
            </w:r>
            <w:r w:rsidR="008C5A50">
              <w:t xml:space="preserve"> (formerly called Adaptive Release)</w:t>
            </w:r>
            <w:r w:rsidRPr="001625B3">
              <w:t xml:space="preserve"> are </w:t>
            </w:r>
            <w:r w:rsidR="008C5A50">
              <w:t>preserved</w:t>
            </w:r>
            <w:r w:rsidRPr="001625B3">
              <w:t xml:space="preserve"> </w:t>
            </w:r>
            <w:r w:rsidR="008C5A50">
              <w:t>during the conversion process</w:t>
            </w:r>
            <w:r w:rsidRPr="001625B3">
              <w:t xml:space="preserve">. You may want to quickly set all items to “Visible to students” or “Hidden from students” with Batch Edit to remove date/time release conditions quickly. You can then add them back as </w:t>
            </w:r>
            <w:r w:rsidR="008C5A50">
              <w:t>needed</w:t>
            </w:r>
            <w:r w:rsidRPr="001625B3">
              <w:t>.</w:t>
            </w:r>
            <w:r w:rsidR="002D4E9B">
              <w:t xml:space="preserve"> If not, you might need to remove a release condition on an item before you can update its due date.</w:t>
            </w:r>
            <w:r>
              <w:t xml:space="preserve"> </w:t>
            </w:r>
            <w:hyperlink r:id="rId21" w:history="1">
              <w:r w:rsidRPr="00B3065F">
                <w:rPr>
                  <w:rStyle w:val="Hyperlink"/>
                </w:rPr>
                <w:t>Learn more.</w:t>
              </w:r>
            </w:hyperlink>
          </w:p>
        </w:tc>
        <w:tc>
          <w:tcPr>
            <w:tcW w:w="2589" w:type="dxa"/>
          </w:tcPr>
          <w:p w14:paraId="52778069" w14:textId="77777777" w:rsidR="00F64360" w:rsidRDefault="00F64360" w:rsidP="007C294F"/>
        </w:tc>
      </w:tr>
      <w:tr w:rsidR="003B7190" w14:paraId="7F1FF7D5" w14:textId="77777777" w:rsidTr="007C294F">
        <w:tc>
          <w:tcPr>
            <w:tcW w:w="12950" w:type="dxa"/>
            <w:gridSpan w:val="2"/>
            <w:shd w:val="clear" w:color="auto" w:fill="A3DBDC"/>
          </w:tcPr>
          <w:p w14:paraId="2E549D36" w14:textId="0F3B7AA3" w:rsidR="003B7190" w:rsidRDefault="78BD45CE" w:rsidP="007C294F">
            <w:pPr>
              <w:pStyle w:val="Heading3"/>
            </w:pPr>
            <w:r w:rsidRPr="4B10496F">
              <w:t>Roster</w:t>
            </w:r>
          </w:p>
        </w:tc>
      </w:tr>
      <w:tr w:rsidR="00F64360" w14:paraId="39A6A49F" w14:textId="77777777" w:rsidTr="4B10496F">
        <w:tc>
          <w:tcPr>
            <w:tcW w:w="10361" w:type="dxa"/>
          </w:tcPr>
          <w:p w14:paraId="37897064" w14:textId="029B3743" w:rsidR="00F64360" w:rsidRDefault="00F64360" w:rsidP="007C294F">
            <w:pPr>
              <w:rPr>
                <w:b/>
                <w:bCs/>
              </w:rPr>
            </w:pPr>
            <w:r w:rsidRPr="001402EF">
              <w:rPr>
                <w:rStyle w:val="Strong"/>
              </w:rPr>
              <w:t>Add Accommodations:</w:t>
            </w:r>
            <w:r>
              <w:rPr>
                <w:b/>
                <w:bCs/>
              </w:rPr>
              <w:t xml:space="preserve"> </w:t>
            </w:r>
            <w:r w:rsidRPr="00C23231">
              <w:t>If you have students enrolled, you can add accommodations to give them additional time on timed assessments or prevent their submissions from ever being marked late.</w:t>
            </w:r>
            <w:r w:rsidR="003B4FC9">
              <w:t xml:space="preserve"> </w:t>
            </w:r>
            <w:hyperlink r:id="rId22" w:history="1">
              <w:r w:rsidR="003B4FC9" w:rsidRPr="003B4FC9">
                <w:rPr>
                  <w:rStyle w:val="Hyperlink"/>
                </w:rPr>
                <w:t>Learn more.</w:t>
              </w:r>
            </w:hyperlink>
          </w:p>
        </w:tc>
        <w:tc>
          <w:tcPr>
            <w:tcW w:w="2589" w:type="dxa"/>
          </w:tcPr>
          <w:p w14:paraId="2EA98D83" w14:textId="77777777" w:rsidR="00F64360" w:rsidRDefault="00F64360" w:rsidP="007C294F"/>
        </w:tc>
      </w:tr>
      <w:tr w:rsidR="00F64360" w14:paraId="17BBE9CD" w14:textId="77777777" w:rsidTr="4B10496F">
        <w:tc>
          <w:tcPr>
            <w:tcW w:w="10361" w:type="dxa"/>
          </w:tcPr>
          <w:p w14:paraId="447B70A9" w14:textId="6BA6F9EE" w:rsidR="00F64360" w:rsidRDefault="00F64360" w:rsidP="007C294F">
            <w:pPr>
              <w:rPr>
                <w:b/>
                <w:bCs/>
              </w:rPr>
            </w:pPr>
            <w:r w:rsidRPr="001402EF">
              <w:rPr>
                <w:rStyle w:val="Strong"/>
              </w:rPr>
              <w:t>Display or Hide Roster:</w:t>
            </w:r>
            <w:r>
              <w:rPr>
                <w:b/>
                <w:bCs/>
              </w:rPr>
              <w:t xml:space="preserve"> </w:t>
            </w:r>
            <w:r w:rsidRPr="006305C7">
              <w:t xml:space="preserve">You have the option to display or hide the roster from students. </w:t>
            </w:r>
            <w:r w:rsidR="001402EF">
              <w:br/>
            </w:r>
            <w:r w:rsidRPr="006305C7">
              <w:t>You may want to hide the roster to prevent students from being able to identify other students enrolled in the same course.</w:t>
            </w:r>
            <w:r w:rsidR="003B4FC9">
              <w:t xml:space="preserve"> </w:t>
            </w:r>
            <w:hyperlink r:id="rId23" w:history="1">
              <w:r w:rsidR="003B4FC9" w:rsidRPr="003B4FC9">
                <w:rPr>
                  <w:rStyle w:val="Hyperlink"/>
                </w:rPr>
                <w:t>Learn more.</w:t>
              </w:r>
            </w:hyperlink>
          </w:p>
        </w:tc>
        <w:tc>
          <w:tcPr>
            <w:tcW w:w="2589" w:type="dxa"/>
          </w:tcPr>
          <w:p w14:paraId="4E9DD331" w14:textId="77777777" w:rsidR="00F64360" w:rsidRDefault="00F64360" w:rsidP="007C294F"/>
        </w:tc>
      </w:tr>
    </w:tbl>
    <w:p w14:paraId="2D232061" w14:textId="379DF60A" w:rsidR="007C294F" w:rsidRPr="009F3C07" w:rsidRDefault="009F3C07">
      <w:pPr>
        <w:rPr>
          <w:b/>
          <w:bCs/>
        </w:rPr>
      </w:pPr>
      <w:r>
        <w:rPr>
          <w:b/>
          <w:bCs/>
        </w:rPr>
        <w:br w:type="page"/>
      </w:r>
    </w:p>
    <w:tbl>
      <w:tblPr>
        <w:tblStyle w:val="TableGrid"/>
        <w:tblW w:w="5000" w:type="pct"/>
        <w:tblLook w:val="04A0" w:firstRow="1" w:lastRow="0" w:firstColumn="1" w:lastColumn="0" w:noHBand="0" w:noVBand="1"/>
      </w:tblPr>
      <w:tblGrid>
        <w:gridCol w:w="10361"/>
        <w:gridCol w:w="2589"/>
      </w:tblGrid>
      <w:tr w:rsidR="00434203" w14:paraId="3AFCDECA" w14:textId="77777777" w:rsidTr="007C294F">
        <w:tc>
          <w:tcPr>
            <w:tcW w:w="12950" w:type="dxa"/>
            <w:gridSpan w:val="2"/>
            <w:shd w:val="clear" w:color="auto" w:fill="A3DBDC"/>
          </w:tcPr>
          <w:p w14:paraId="18D192E3" w14:textId="11B1E41F" w:rsidR="00434203" w:rsidRPr="007C294F" w:rsidRDefault="0B6CD6D9" w:rsidP="007C294F">
            <w:pPr>
              <w:pStyle w:val="Heading3"/>
              <w:rPr>
                <w:b w:val="0"/>
                <w:bCs w:val="0"/>
              </w:rPr>
            </w:pPr>
            <w:r w:rsidRPr="007C294F">
              <w:rPr>
                <w:b w:val="0"/>
                <w:bCs w:val="0"/>
              </w:rPr>
              <w:lastRenderedPageBreak/>
              <w:t>Tests</w:t>
            </w:r>
          </w:p>
        </w:tc>
      </w:tr>
      <w:tr w:rsidR="00434203" w14:paraId="1B3D0E83" w14:textId="77777777" w:rsidTr="4B10496F">
        <w:tc>
          <w:tcPr>
            <w:tcW w:w="10361" w:type="dxa"/>
          </w:tcPr>
          <w:p w14:paraId="05EFC41A" w14:textId="570E4061" w:rsidR="005E748A" w:rsidRDefault="00434203" w:rsidP="007C294F">
            <w:r w:rsidRPr="001402EF">
              <w:rPr>
                <w:rStyle w:val="Strong"/>
              </w:rPr>
              <w:t>Add Page Breaks:</w:t>
            </w:r>
            <w:r>
              <w:rPr>
                <w:b/>
                <w:bCs/>
              </w:rPr>
              <w:t xml:space="preserve"> </w:t>
            </w:r>
            <w:r w:rsidRPr="00FF34EE">
              <w:t>Tests in Ultra courses have a new option that allows you to divide the test into pages. Each page can contain one or more questions</w:t>
            </w:r>
            <w:r w:rsidR="00FF34EE" w:rsidRPr="00FF34EE">
              <w:t xml:space="preserve">. You can also add a page to the beginning of the test to display test </w:t>
            </w:r>
            <w:r w:rsidR="00C97156">
              <w:t>instructions</w:t>
            </w:r>
            <w:r w:rsidR="00FF34EE" w:rsidRPr="00FF34EE">
              <w:t xml:space="preserve"> before students see questions.</w:t>
            </w:r>
          </w:p>
          <w:p w14:paraId="5813009F" w14:textId="6956DE4C" w:rsidR="005E748A" w:rsidRPr="00C97156" w:rsidRDefault="005E748A" w:rsidP="007C294F">
            <w:pPr>
              <w:rPr>
                <w:b/>
                <w:bCs/>
              </w:rPr>
            </w:pPr>
            <w:r w:rsidRPr="001402EF">
              <w:rPr>
                <w:rStyle w:val="Strong"/>
                <w:b w:val="0"/>
                <w:bCs w:val="0"/>
                <w:i/>
                <w:iCs/>
              </w:rPr>
              <w:t>Note:</w:t>
            </w:r>
            <w:r w:rsidRPr="00C97156">
              <w:t xml:space="preserve"> If you have pages turned on and randomization, make sure you do not randomize the first page if it is used </w:t>
            </w:r>
            <w:r w:rsidR="00C97156" w:rsidRPr="00C97156">
              <w:t>for instructions.</w:t>
            </w:r>
          </w:p>
        </w:tc>
        <w:tc>
          <w:tcPr>
            <w:tcW w:w="2589" w:type="dxa"/>
          </w:tcPr>
          <w:p w14:paraId="6C0BC979" w14:textId="77777777" w:rsidR="00434203" w:rsidRDefault="00434203" w:rsidP="007C294F"/>
        </w:tc>
      </w:tr>
      <w:tr w:rsidR="00F64360" w14:paraId="08DB8066" w14:textId="77777777" w:rsidTr="4B10496F">
        <w:tc>
          <w:tcPr>
            <w:tcW w:w="10361" w:type="dxa"/>
          </w:tcPr>
          <w:p w14:paraId="1CFCE47F" w14:textId="0150DB2D" w:rsidR="00F64360" w:rsidRPr="00A93171" w:rsidRDefault="00F64360" w:rsidP="007C294F">
            <w:r w:rsidRPr="001402EF">
              <w:rPr>
                <w:rStyle w:val="Strong"/>
              </w:rPr>
              <w:t>Replace Dropped Questions:</w:t>
            </w:r>
            <w:r>
              <w:rPr>
                <w:b/>
                <w:bCs/>
              </w:rPr>
              <w:t xml:space="preserve"> </w:t>
            </w:r>
            <w:r w:rsidRPr="00BD5602">
              <w:t xml:space="preserve">Not all the question types in </w:t>
            </w:r>
            <w:r>
              <w:t xml:space="preserve">Original courses </w:t>
            </w:r>
            <w:r w:rsidRPr="00BD5602">
              <w:t xml:space="preserve">are available in Ultra </w:t>
            </w:r>
            <w:r>
              <w:t>courses</w:t>
            </w:r>
            <w:r w:rsidRPr="00BD5602">
              <w:t>. Below are the question types that do not come over during the conversion process. You may want to replace the questions with one of the alternatives provided below.</w:t>
            </w:r>
          </w:p>
          <w:p w14:paraId="48A9825F" w14:textId="15BB9210" w:rsidR="00F64360" w:rsidRPr="00A93171" w:rsidRDefault="00F64360" w:rsidP="007C294F">
            <w:pPr>
              <w:pStyle w:val="Bullets"/>
            </w:pPr>
            <w:r w:rsidRPr="00620045">
              <w:rPr>
                <w:rStyle w:val="Strong"/>
                <w:b w:val="0"/>
                <w:bCs w:val="0"/>
                <w:lang w:val="fr-CA"/>
              </w:rPr>
              <w:t>File Response:</w:t>
            </w:r>
            <w:r w:rsidRPr="00620045">
              <w:rPr>
                <w:lang w:val="fr-CA"/>
              </w:rPr>
              <w:t xml:space="preserve"> Essay Question Type. </w:t>
            </w:r>
            <w:r>
              <w:t>Students can upload files for Essay questions using the content editor.</w:t>
            </w:r>
          </w:p>
          <w:p w14:paraId="29FB4E7B" w14:textId="57DF19FF" w:rsidR="00F64360" w:rsidRPr="00A93171" w:rsidRDefault="00F64360" w:rsidP="007C294F">
            <w:pPr>
              <w:pStyle w:val="Bullets"/>
            </w:pPr>
            <w:r w:rsidRPr="001402EF">
              <w:rPr>
                <w:rStyle w:val="Strong"/>
                <w:b w:val="0"/>
                <w:bCs w:val="0"/>
              </w:rPr>
              <w:t>Jumbled Sentence:</w:t>
            </w:r>
            <w:r>
              <w:t xml:space="preserve"> Fill in the Blank, Multiple Choice, or Multiple Answer question type. </w:t>
            </w:r>
          </w:p>
          <w:p w14:paraId="28FE819A" w14:textId="340C0419" w:rsidR="00F64360" w:rsidRPr="00A93171" w:rsidRDefault="00F64360" w:rsidP="007C294F">
            <w:pPr>
              <w:pStyle w:val="Bullets"/>
            </w:pPr>
            <w:r w:rsidRPr="001402EF">
              <w:rPr>
                <w:rStyle w:val="Strong"/>
              </w:rPr>
              <w:t>Opinion Scale/Likert:</w:t>
            </w:r>
            <w:r>
              <w:t xml:space="preserve"> Multiple Choice question type.</w:t>
            </w:r>
          </w:p>
          <w:p w14:paraId="46BEBE45" w14:textId="11F533AD" w:rsidR="00F64360" w:rsidRPr="00A93171" w:rsidRDefault="00F64360" w:rsidP="007C294F">
            <w:pPr>
              <w:pStyle w:val="Bullets"/>
            </w:pPr>
            <w:r w:rsidRPr="001402EF">
              <w:rPr>
                <w:rStyle w:val="Strong"/>
                <w:b w:val="0"/>
                <w:bCs w:val="0"/>
              </w:rPr>
              <w:t>Ordering:</w:t>
            </w:r>
            <w:r>
              <w:t xml:space="preserve"> Multiple Choice question type. Each option could have a different order combination. They would need to choose the option with the correct order.</w:t>
            </w:r>
          </w:p>
          <w:p w14:paraId="6FCA7428" w14:textId="31DF6180" w:rsidR="00F64360" w:rsidRDefault="00F64360" w:rsidP="007C294F">
            <w:pPr>
              <w:pStyle w:val="Bullets"/>
              <w:spacing w:after="120"/>
            </w:pPr>
            <w:r w:rsidRPr="001402EF">
              <w:rPr>
                <w:rStyle w:val="Strong"/>
                <w:b w:val="0"/>
                <w:bCs w:val="0"/>
              </w:rPr>
              <w:t>Quiz Bowl:</w:t>
            </w:r>
            <w:r>
              <w:t xml:space="preserve"> We don’t have an alternative option for this question type.</w:t>
            </w:r>
          </w:p>
        </w:tc>
        <w:tc>
          <w:tcPr>
            <w:tcW w:w="2589" w:type="dxa"/>
          </w:tcPr>
          <w:p w14:paraId="44D70B5B" w14:textId="77777777" w:rsidR="00F64360" w:rsidRDefault="00F64360" w:rsidP="007C294F"/>
        </w:tc>
      </w:tr>
      <w:tr w:rsidR="00A71B62" w14:paraId="22697F61" w14:textId="77777777" w:rsidTr="4B10496F">
        <w:tc>
          <w:tcPr>
            <w:tcW w:w="10361" w:type="dxa"/>
          </w:tcPr>
          <w:p w14:paraId="4FD757D2" w14:textId="5CE1F5AC" w:rsidR="00A71B62" w:rsidRDefault="00A71B62" w:rsidP="007C294F">
            <w:pPr>
              <w:rPr>
                <w:b/>
                <w:bCs/>
              </w:rPr>
            </w:pPr>
            <w:r w:rsidRPr="001402EF">
              <w:rPr>
                <w:rStyle w:val="Strong"/>
                <w:b w:val="0"/>
                <w:bCs w:val="0"/>
              </w:rPr>
              <w:t>Review Assessment Result Settings:</w:t>
            </w:r>
            <w:r>
              <w:rPr>
                <w:b/>
                <w:bCs/>
              </w:rPr>
              <w:t xml:space="preserve"> </w:t>
            </w:r>
            <w:r w:rsidRPr="00A71B62">
              <w:t>The conversion process does not preserve assessment result settings.</w:t>
            </w:r>
            <w:r>
              <w:rPr>
                <w:b/>
                <w:bCs/>
              </w:rPr>
              <w:t xml:space="preserve"> </w:t>
            </w:r>
            <w:r w:rsidRPr="00A71B62">
              <w:t xml:space="preserve">You can configure if and when students can see their submission, automated question feedback, question </w:t>
            </w:r>
            <w:r>
              <w:t>s</w:t>
            </w:r>
            <w:r w:rsidRPr="00A71B62">
              <w:t>cores, and correct answers.</w:t>
            </w:r>
          </w:p>
        </w:tc>
        <w:tc>
          <w:tcPr>
            <w:tcW w:w="2589" w:type="dxa"/>
          </w:tcPr>
          <w:p w14:paraId="1350EB8F" w14:textId="77777777" w:rsidR="00A71B62" w:rsidRDefault="00A71B62" w:rsidP="007C294F"/>
        </w:tc>
      </w:tr>
      <w:tr w:rsidR="00F64360" w14:paraId="77CBDF1E" w14:textId="77777777" w:rsidTr="4B10496F">
        <w:tc>
          <w:tcPr>
            <w:tcW w:w="10361" w:type="dxa"/>
          </w:tcPr>
          <w:p w14:paraId="2948FBF8" w14:textId="07295503" w:rsidR="00F64360" w:rsidRDefault="00F64360" w:rsidP="007C294F">
            <w:pPr>
              <w:rPr>
                <w:b/>
                <w:bCs/>
              </w:rPr>
            </w:pPr>
            <w:r w:rsidRPr="001402EF">
              <w:rPr>
                <w:rStyle w:val="Strong"/>
                <w:b w:val="0"/>
                <w:bCs w:val="0"/>
              </w:rPr>
              <w:t>Review Test Access Codes:</w:t>
            </w:r>
            <w:r>
              <w:rPr>
                <w:b/>
                <w:bCs/>
              </w:rPr>
              <w:t xml:space="preserve"> </w:t>
            </w:r>
            <w:r w:rsidRPr="00B856E2">
              <w:t xml:space="preserve">Tests with passwords in </w:t>
            </w:r>
            <w:r>
              <w:t>Original courses</w:t>
            </w:r>
            <w:r w:rsidRPr="00B856E2">
              <w:t xml:space="preserve"> will receive an updated “access code”. You may need to update </w:t>
            </w:r>
            <w:r>
              <w:t>areas</w:t>
            </w:r>
            <w:r w:rsidRPr="00B856E2">
              <w:t xml:space="preserve"> in your course where that password is shared with students.</w:t>
            </w:r>
          </w:p>
        </w:tc>
        <w:tc>
          <w:tcPr>
            <w:tcW w:w="2589" w:type="dxa"/>
          </w:tcPr>
          <w:p w14:paraId="6FF72824" w14:textId="77777777" w:rsidR="00F64360" w:rsidRDefault="00F64360" w:rsidP="007C294F"/>
        </w:tc>
      </w:tr>
      <w:tr w:rsidR="00AF6750" w14:paraId="45D2B61C" w14:textId="77777777" w:rsidTr="4B10496F">
        <w:tc>
          <w:tcPr>
            <w:tcW w:w="10361" w:type="dxa"/>
          </w:tcPr>
          <w:p w14:paraId="0C836644" w14:textId="30C54475" w:rsidR="00AF6750" w:rsidRDefault="0026746A" w:rsidP="007C294F">
            <w:pPr>
              <w:rPr>
                <w:b/>
                <w:bCs/>
              </w:rPr>
            </w:pPr>
            <w:r w:rsidRPr="001402EF">
              <w:rPr>
                <w:rStyle w:val="Strong"/>
                <w:b w:val="0"/>
                <w:bCs w:val="0"/>
              </w:rPr>
              <w:t>Turn off “Allow students to add content at end of assessment”:</w:t>
            </w:r>
            <w:r>
              <w:rPr>
                <w:b/>
                <w:bCs/>
              </w:rPr>
              <w:t xml:space="preserve"> </w:t>
            </w:r>
            <w:r w:rsidRPr="0026746A">
              <w:t>Instructors have an option on tests that allows students to add content at the end of the assessment.</w:t>
            </w:r>
            <w:r>
              <w:t xml:space="preserve"> The default of off for newly created tests in Ultra courses. However, there is a bug during conversion that turns on this setting for any tests converted from Original. </w:t>
            </w:r>
            <w:r w:rsidR="00D72260">
              <w:t>You may want to check all of your tests and turn off this option.</w:t>
            </w:r>
          </w:p>
        </w:tc>
        <w:tc>
          <w:tcPr>
            <w:tcW w:w="2589" w:type="dxa"/>
          </w:tcPr>
          <w:p w14:paraId="27F6E598" w14:textId="77777777" w:rsidR="00AF6750" w:rsidRDefault="00AF6750" w:rsidP="007C294F"/>
        </w:tc>
      </w:tr>
    </w:tbl>
    <w:p w14:paraId="4196295E" w14:textId="77777777" w:rsidR="009F7A34" w:rsidRPr="00141818" w:rsidRDefault="009F7A34" w:rsidP="00141818">
      <w:pPr>
        <w:rPr>
          <w:sz w:val="2"/>
          <w:szCs w:val="2"/>
        </w:rPr>
      </w:pPr>
    </w:p>
    <w:sectPr w:rsidR="009F7A34" w:rsidRPr="00141818" w:rsidSect="009F7A34">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unito Sans Light">
    <w:charset w:val="00"/>
    <w:family w:val="auto"/>
    <w:pitch w:val="variable"/>
    <w:sig w:usb0="A00002FF" w:usb1="5000204B" w:usb2="00000000" w:usb3="00000000" w:csb0="00000197" w:csb1="00000000"/>
  </w:font>
  <w:font w:name="Malgun Gothic">
    <w:panose1 w:val="020B0503020000020004"/>
    <w:charset w:val="81"/>
    <w:family w:val="swiss"/>
    <w:pitch w:val="variable"/>
    <w:sig w:usb0="9000002F" w:usb1="29D77CFB" w:usb2="00000012" w:usb3="00000000" w:csb0="00080001" w:csb1="00000000"/>
  </w:font>
  <w:font w:name="Nunito Sans">
    <w:charset w:val="00"/>
    <w:family w:val="auto"/>
    <w:pitch w:val="variable"/>
    <w:sig w:usb0="A00002FF" w:usb1="5000204B" w:usb2="00000000" w:usb3="00000000" w:csb0="00000197" w:csb1="00000000"/>
  </w:font>
  <w:font w:name="Nunito Sans SemiBold">
    <w:charset w:val="00"/>
    <w:family w:val="auto"/>
    <w:pitch w:val="variable"/>
    <w:sig w:usb0="A00002FF" w:usb1="5000204B" w:usb2="00000000" w:usb3="00000000" w:csb0="00000197" w:csb1="00000000"/>
  </w:font>
  <w:font w:name=".AppleSystemUIFont">
    <w:altName w:val="Cambria"/>
    <w:panose1 w:val="00000000000000000000"/>
    <w:charset w:val="00"/>
    <w:family w:val="roman"/>
    <w:notTrueType/>
    <w:pitch w:val="default"/>
  </w:font>
  <w:font w:name="Helvetica">
    <w:panose1 w:val="020B0604020202020204"/>
    <w:charset w:val="00"/>
    <w:family w:val="auto"/>
    <w:pitch w:val="variable"/>
    <w:sig w:usb0="E00002FF" w:usb1="5000785B" w:usb2="00000000" w:usb3="00000000" w:csb0="0000019F" w:csb1="00000000"/>
  </w:font>
  <w:font w:name=".SFNS-Regular">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E75E48"/>
    <w:multiLevelType w:val="multilevel"/>
    <w:tmpl w:val="5E3C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CB0888"/>
    <w:multiLevelType w:val="hybridMultilevel"/>
    <w:tmpl w:val="E64ED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9B0BD6"/>
    <w:multiLevelType w:val="hybridMultilevel"/>
    <w:tmpl w:val="A7888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73495A"/>
    <w:multiLevelType w:val="hybridMultilevel"/>
    <w:tmpl w:val="87648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023604"/>
    <w:multiLevelType w:val="hybridMultilevel"/>
    <w:tmpl w:val="AF249FAA"/>
    <w:lvl w:ilvl="0" w:tplc="C744141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ED3B65"/>
    <w:multiLevelType w:val="hybridMultilevel"/>
    <w:tmpl w:val="C6427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3F76A4"/>
    <w:multiLevelType w:val="hybridMultilevel"/>
    <w:tmpl w:val="CDF6F6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1"/>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04F"/>
    <w:rsid w:val="00010C91"/>
    <w:rsid w:val="00027D74"/>
    <w:rsid w:val="00031381"/>
    <w:rsid w:val="00031568"/>
    <w:rsid w:val="0004427A"/>
    <w:rsid w:val="00047E65"/>
    <w:rsid w:val="00054775"/>
    <w:rsid w:val="00055ED2"/>
    <w:rsid w:val="0006109E"/>
    <w:rsid w:val="00064E98"/>
    <w:rsid w:val="00095C89"/>
    <w:rsid w:val="00095DAD"/>
    <w:rsid w:val="000B6D3F"/>
    <w:rsid w:val="000B77B3"/>
    <w:rsid w:val="000C6471"/>
    <w:rsid w:val="000D75A3"/>
    <w:rsid w:val="000D7D74"/>
    <w:rsid w:val="001268B6"/>
    <w:rsid w:val="001335C8"/>
    <w:rsid w:val="001402EF"/>
    <w:rsid w:val="00141818"/>
    <w:rsid w:val="00142901"/>
    <w:rsid w:val="00142AD8"/>
    <w:rsid w:val="00145FBD"/>
    <w:rsid w:val="0015160D"/>
    <w:rsid w:val="001625B3"/>
    <w:rsid w:val="00181FC6"/>
    <w:rsid w:val="00194035"/>
    <w:rsid w:val="001D652F"/>
    <w:rsid w:val="001D7734"/>
    <w:rsid w:val="001E485D"/>
    <w:rsid w:val="001E55A6"/>
    <w:rsid w:val="002020FB"/>
    <w:rsid w:val="00226948"/>
    <w:rsid w:val="0023490A"/>
    <w:rsid w:val="00240877"/>
    <w:rsid w:val="00247DFD"/>
    <w:rsid w:val="00264D5C"/>
    <w:rsid w:val="0026746A"/>
    <w:rsid w:val="00294F21"/>
    <w:rsid w:val="00295C49"/>
    <w:rsid w:val="002A1E6C"/>
    <w:rsid w:val="002A2CF6"/>
    <w:rsid w:val="002A60D0"/>
    <w:rsid w:val="002B75F5"/>
    <w:rsid w:val="002C5BB6"/>
    <w:rsid w:val="002D0475"/>
    <w:rsid w:val="002D2F64"/>
    <w:rsid w:val="002D4E9B"/>
    <w:rsid w:val="002E1559"/>
    <w:rsid w:val="002E221D"/>
    <w:rsid w:val="00307ABF"/>
    <w:rsid w:val="00331DA2"/>
    <w:rsid w:val="00332091"/>
    <w:rsid w:val="00340F43"/>
    <w:rsid w:val="003433E3"/>
    <w:rsid w:val="003468EF"/>
    <w:rsid w:val="003603F9"/>
    <w:rsid w:val="0036366D"/>
    <w:rsid w:val="00363E43"/>
    <w:rsid w:val="00375116"/>
    <w:rsid w:val="003B0C6C"/>
    <w:rsid w:val="003B4FC9"/>
    <w:rsid w:val="003B64E3"/>
    <w:rsid w:val="003B657B"/>
    <w:rsid w:val="003B7190"/>
    <w:rsid w:val="003C6943"/>
    <w:rsid w:val="003D13CB"/>
    <w:rsid w:val="003F6168"/>
    <w:rsid w:val="004021E5"/>
    <w:rsid w:val="00407A33"/>
    <w:rsid w:val="00417C27"/>
    <w:rsid w:val="0043288E"/>
    <w:rsid w:val="00432C76"/>
    <w:rsid w:val="00434203"/>
    <w:rsid w:val="00435823"/>
    <w:rsid w:val="0044490C"/>
    <w:rsid w:val="00451E22"/>
    <w:rsid w:val="00452F29"/>
    <w:rsid w:val="00466048"/>
    <w:rsid w:val="0048209D"/>
    <w:rsid w:val="00485F0A"/>
    <w:rsid w:val="004D63CF"/>
    <w:rsid w:val="004E3DA9"/>
    <w:rsid w:val="004F7041"/>
    <w:rsid w:val="00504EB0"/>
    <w:rsid w:val="0051249F"/>
    <w:rsid w:val="00521D94"/>
    <w:rsid w:val="00522498"/>
    <w:rsid w:val="00543F4D"/>
    <w:rsid w:val="005441CC"/>
    <w:rsid w:val="00551CD8"/>
    <w:rsid w:val="00554394"/>
    <w:rsid w:val="00573931"/>
    <w:rsid w:val="0057687C"/>
    <w:rsid w:val="00585D5C"/>
    <w:rsid w:val="00591D4A"/>
    <w:rsid w:val="005B57BB"/>
    <w:rsid w:val="005E0887"/>
    <w:rsid w:val="005E748A"/>
    <w:rsid w:val="005F1E2E"/>
    <w:rsid w:val="005F27FB"/>
    <w:rsid w:val="006010D3"/>
    <w:rsid w:val="00617729"/>
    <w:rsid w:val="00620045"/>
    <w:rsid w:val="00627BB0"/>
    <w:rsid w:val="006305C7"/>
    <w:rsid w:val="00637B7D"/>
    <w:rsid w:val="00640B44"/>
    <w:rsid w:val="006416CD"/>
    <w:rsid w:val="006545FC"/>
    <w:rsid w:val="00662981"/>
    <w:rsid w:val="00667CAA"/>
    <w:rsid w:val="006712BF"/>
    <w:rsid w:val="006748BA"/>
    <w:rsid w:val="006857B9"/>
    <w:rsid w:val="006928DB"/>
    <w:rsid w:val="00692A3B"/>
    <w:rsid w:val="00694607"/>
    <w:rsid w:val="00694FD1"/>
    <w:rsid w:val="006A7F7A"/>
    <w:rsid w:val="006B4A9E"/>
    <w:rsid w:val="006B5E80"/>
    <w:rsid w:val="006C193B"/>
    <w:rsid w:val="006D68EB"/>
    <w:rsid w:val="006D751E"/>
    <w:rsid w:val="00716147"/>
    <w:rsid w:val="0071645C"/>
    <w:rsid w:val="00720D59"/>
    <w:rsid w:val="00723BA6"/>
    <w:rsid w:val="00742998"/>
    <w:rsid w:val="00752527"/>
    <w:rsid w:val="00755175"/>
    <w:rsid w:val="00765995"/>
    <w:rsid w:val="00773954"/>
    <w:rsid w:val="00790A17"/>
    <w:rsid w:val="00792DDA"/>
    <w:rsid w:val="007A207D"/>
    <w:rsid w:val="007A2B50"/>
    <w:rsid w:val="007B4480"/>
    <w:rsid w:val="007C294F"/>
    <w:rsid w:val="007D2E40"/>
    <w:rsid w:val="007E4C49"/>
    <w:rsid w:val="007F5B3A"/>
    <w:rsid w:val="00803646"/>
    <w:rsid w:val="00811571"/>
    <w:rsid w:val="0082076B"/>
    <w:rsid w:val="0083206E"/>
    <w:rsid w:val="00836CE3"/>
    <w:rsid w:val="008703C8"/>
    <w:rsid w:val="008706BA"/>
    <w:rsid w:val="00881E53"/>
    <w:rsid w:val="008872B2"/>
    <w:rsid w:val="008C5A50"/>
    <w:rsid w:val="008C6D43"/>
    <w:rsid w:val="008D331E"/>
    <w:rsid w:val="008E2193"/>
    <w:rsid w:val="008E404F"/>
    <w:rsid w:val="008E5C3C"/>
    <w:rsid w:val="008E6ABB"/>
    <w:rsid w:val="008F050D"/>
    <w:rsid w:val="008F757F"/>
    <w:rsid w:val="0091246E"/>
    <w:rsid w:val="00915DBE"/>
    <w:rsid w:val="00927C50"/>
    <w:rsid w:val="0094123C"/>
    <w:rsid w:val="00953C18"/>
    <w:rsid w:val="00961C08"/>
    <w:rsid w:val="0096253B"/>
    <w:rsid w:val="0096590F"/>
    <w:rsid w:val="00967296"/>
    <w:rsid w:val="009774FC"/>
    <w:rsid w:val="00981008"/>
    <w:rsid w:val="009940EC"/>
    <w:rsid w:val="00997971"/>
    <w:rsid w:val="009B4397"/>
    <w:rsid w:val="009D59F9"/>
    <w:rsid w:val="009E09AE"/>
    <w:rsid w:val="009E1EA1"/>
    <w:rsid w:val="009E2CB3"/>
    <w:rsid w:val="009E58A1"/>
    <w:rsid w:val="009F10E1"/>
    <w:rsid w:val="009F3C07"/>
    <w:rsid w:val="009F7A34"/>
    <w:rsid w:val="00A03FCF"/>
    <w:rsid w:val="00A07059"/>
    <w:rsid w:val="00A07F65"/>
    <w:rsid w:val="00A15AB7"/>
    <w:rsid w:val="00A17912"/>
    <w:rsid w:val="00A22C96"/>
    <w:rsid w:val="00A36C24"/>
    <w:rsid w:val="00A4702B"/>
    <w:rsid w:val="00A71B62"/>
    <w:rsid w:val="00A74038"/>
    <w:rsid w:val="00A77862"/>
    <w:rsid w:val="00A87A65"/>
    <w:rsid w:val="00A93171"/>
    <w:rsid w:val="00AB3DDF"/>
    <w:rsid w:val="00AC32BF"/>
    <w:rsid w:val="00AF6750"/>
    <w:rsid w:val="00B0466B"/>
    <w:rsid w:val="00B22DB6"/>
    <w:rsid w:val="00B2563A"/>
    <w:rsid w:val="00B3065F"/>
    <w:rsid w:val="00B53DB9"/>
    <w:rsid w:val="00B55FD2"/>
    <w:rsid w:val="00B73D21"/>
    <w:rsid w:val="00B848DC"/>
    <w:rsid w:val="00B856E2"/>
    <w:rsid w:val="00B96A98"/>
    <w:rsid w:val="00BD18C2"/>
    <w:rsid w:val="00BD5602"/>
    <w:rsid w:val="00BE0133"/>
    <w:rsid w:val="00BF7FDC"/>
    <w:rsid w:val="00C0490F"/>
    <w:rsid w:val="00C065A7"/>
    <w:rsid w:val="00C1233F"/>
    <w:rsid w:val="00C145D1"/>
    <w:rsid w:val="00C214ED"/>
    <w:rsid w:val="00C22206"/>
    <w:rsid w:val="00C22C82"/>
    <w:rsid w:val="00C23231"/>
    <w:rsid w:val="00C25C98"/>
    <w:rsid w:val="00C32EA4"/>
    <w:rsid w:val="00C55673"/>
    <w:rsid w:val="00C60A9C"/>
    <w:rsid w:val="00C61A66"/>
    <w:rsid w:val="00C6321A"/>
    <w:rsid w:val="00C92DD5"/>
    <w:rsid w:val="00C97156"/>
    <w:rsid w:val="00CA196B"/>
    <w:rsid w:val="00CA2433"/>
    <w:rsid w:val="00CC3E09"/>
    <w:rsid w:val="00CC4899"/>
    <w:rsid w:val="00CE03BD"/>
    <w:rsid w:val="00D15C5E"/>
    <w:rsid w:val="00D43CEE"/>
    <w:rsid w:val="00D61912"/>
    <w:rsid w:val="00D72260"/>
    <w:rsid w:val="00D9235A"/>
    <w:rsid w:val="00D937B2"/>
    <w:rsid w:val="00DB6505"/>
    <w:rsid w:val="00DC05FD"/>
    <w:rsid w:val="00DD2488"/>
    <w:rsid w:val="00DF464C"/>
    <w:rsid w:val="00E21C03"/>
    <w:rsid w:val="00E22626"/>
    <w:rsid w:val="00E26B7E"/>
    <w:rsid w:val="00E501A9"/>
    <w:rsid w:val="00E537EE"/>
    <w:rsid w:val="00E660C0"/>
    <w:rsid w:val="00E72D93"/>
    <w:rsid w:val="00E80500"/>
    <w:rsid w:val="00E90601"/>
    <w:rsid w:val="00E91798"/>
    <w:rsid w:val="00EB5781"/>
    <w:rsid w:val="00EF0647"/>
    <w:rsid w:val="00F0504E"/>
    <w:rsid w:val="00F06F8B"/>
    <w:rsid w:val="00F15915"/>
    <w:rsid w:val="00F34E29"/>
    <w:rsid w:val="00F36137"/>
    <w:rsid w:val="00F367FC"/>
    <w:rsid w:val="00F53589"/>
    <w:rsid w:val="00F64360"/>
    <w:rsid w:val="00F64922"/>
    <w:rsid w:val="00F8047B"/>
    <w:rsid w:val="00F80B34"/>
    <w:rsid w:val="00FB1D15"/>
    <w:rsid w:val="00FB2539"/>
    <w:rsid w:val="00FC1337"/>
    <w:rsid w:val="00FD2FDC"/>
    <w:rsid w:val="00FF0AFC"/>
    <w:rsid w:val="00FF34EE"/>
    <w:rsid w:val="00FF61B6"/>
    <w:rsid w:val="035B1D25"/>
    <w:rsid w:val="07B3B12D"/>
    <w:rsid w:val="0916F593"/>
    <w:rsid w:val="0A5F552F"/>
    <w:rsid w:val="0ADFF26C"/>
    <w:rsid w:val="0B6CD6D9"/>
    <w:rsid w:val="11862B81"/>
    <w:rsid w:val="124BEF55"/>
    <w:rsid w:val="129B2013"/>
    <w:rsid w:val="13019F3D"/>
    <w:rsid w:val="1697A6DA"/>
    <w:rsid w:val="17D51060"/>
    <w:rsid w:val="18E3722F"/>
    <w:rsid w:val="19F1186C"/>
    <w:rsid w:val="1BC6869D"/>
    <w:rsid w:val="1BE9AA8D"/>
    <w:rsid w:val="1EEE6E44"/>
    <w:rsid w:val="20B4DE47"/>
    <w:rsid w:val="21AD5B14"/>
    <w:rsid w:val="2674BA53"/>
    <w:rsid w:val="2B4FAE53"/>
    <w:rsid w:val="2E87644E"/>
    <w:rsid w:val="2F1BE7E7"/>
    <w:rsid w:val="2F5398DA"/>
    <w:rsid w:val="2FAC9F7C"/>
    <w:rsid w:val="33EF590A"/>
    <w:rsid w:val="3466E842"/>
    <w:rsid w:val="36FE691C"/>
    <w:rsid w:val="3CA6BD40"/>
    <w:rsid w:val="407EF701"/>
    <w:rsid w:val="410990D1"/>
    <w:rsid w:val="4368F8D3"/>
    <w:rsid w:val="4971CF80"/>
    <w:rsid w:val="4B10496F"/>
    <w:rsid w:val="4B71E550"/>
    <w:rsid w:val="4BE93D4F"/>
    <w:rsid w:val="4BFF53E2"/>
    <w:rsid w:val="4CF465DC"/>
    <w:rsid w:val="4DB77D58"/>
    <w:rsid w:val="51E7F815"/>
    <w:rsid w:val="549B1D5C"/>
    <w:rsid w:val="564B8B49"/>
    <w:rsid w:val="57EC22E9"/>
    <w:rsid w:val="598FE0D0"/>
    <w:rsid w:val="5A5D32B4"/>
    <w:rsid w:val="5B3CEC08"/>
    <w:rsid w:val="5B56CF52"/>
    <w:rsid w:val="5F5505F4"/>
    <w:rsid w:val="60347145"/>
    <w:rsid w:val="6040DB61"/>
    <w:rsid w:val="6074A29A"/>
    <w:rsid w:val="6379FEB5"/>
    <w:rsid w:val="63A06590"/>
    <w:rsid w:val="69E09519"/>
    <w:rsid w:val="71B1167F"/>
    <w:rsid w:val="72ADF73A"/>
    <w:rsid w:val="778A4059"/>
    <w:rsid w:val="78548A7E"/>
    <w:rsid w:val="78BD45CE"/>
    <w:rsid w:val="7A0A93F2"/>
    <w:rsid w:val="7B8876FB"/>
    <w:rsid w:val="7CF9B00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78DFB"/>
  <w15:chartTrackingRefBased/>
  <w15:docId w15:val="{F269F4A1-9AEF-4169-96D6-68CF1ABA2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94F"/>
    <w:pPr>
      <w:spacing w:before="120" w:after="120"/>
    </w:pPr>
    <w:rPr>
      <w:rFonts w:ascii="Nunito Sans Light" w:eastAsiaTheme="minorEastAsia" w:hAnsi="Nunito Sans Light"/>
      <w:sz w:val="21"/>
      <w:szCs w:val="21"/>
    </w:rPr>
  </w:style>
  <w:style w:type="paragraph" w:styleId="Heading1">
    <w:name w:val="heading 1"/>
    <w:basedOn w:val="Normal"/>
    <w:next w:val="Normal"/>
    <w:link w:val="Heading1Char"/>
    <w:uiPriority w:val="9"/>
    <w:qFormat/>
    <w:rsid w:val="00247DFD"/>
    <w:pPr>
      <w:keepNext/>
      <w:keepLines/>
      <w:outlineLvl w:val="0"/>
    </w:pPr>
    <w:rPr>
      <w:rFonts w:ascii="Nunito Sans" w:eastAsiaTheme="majorEastAsia" w:hAnsi="Nunito Sans" w:cstheme="majorBidi"/>
      <w:b/>
      <w:bCs/>
      <w:color w:val="000000" w:themeColor="text1"/>
      <w:sz w:val="30"/>
      <w:szCs w:val="30"/>
    </w:rPr>
  </w:style>
  <w:style w:type="paragraph" w:styleId="Heading2">
    <w:name w:val="heading 2"/>
    <w:basedOn w:val="Normal"/>
    <w:next w:val="Normal"/>
    <w:link w:val="Heading2Char"/>
    <w:uiPriority w:val="9"/>
    <w:unhideWhenUsed/>
    <w:qFormat/>
    <w:rsid w:val="00141818"/>
    <w:pPr>
      <w:keepNext/>
      <w:keepLines/>
      <w:outlineLvl w:val="1"/>
    </w:pPr>
    <w:rPr>
      <w:rFonts w:ascii="Nunito Sans SemiBold" w:eastAsiaTheme="majorEastAsia" w:hAnsi="Nunito Sans SemiBold" w:cstheme="majorBidi"/>
      <w:b/>
      <w:bCs/>
      <w:color w:val="FFFFFF" w:themeColor="background1"/>
      <w:sz w:val="26"/>
      <w:szCs w:val="26"/>
    </w:rPr>
  </w:style>
  <w:style w:type="paragraph" w:styleId="Heading3">
    <w:name w:val="heading 3"/>
    <w:basedOn w:val="Normal"/>
    <w:next w:val="Normal"/>
    <w:link w:val="Heading3Char"/>
    <w:uiPriority w:val="9"/>
    <w:unhideWhenUsed/>
    <w:qFormat/>
    <w:rsid w:val="007C294F"/>
    <w:pPr>
      <w:keepNext/>
      <w:keepLines/>
      <w:spacing w:before="80" w:after="60"/>
      <w:outlineLvl w:val="2"/>
    </w:pPr>
    <w:rPr>
      <w:rFonts w:ascii="Nunito Sans SemiBold" w:eastAsiaTheme="majorEastAsia" w:hAnsi="Nunito Sans SemiBold"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4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6748BA"/>
    <w:rPr>
      <w:sz w:val="20"/>
      <w:szCs w:val="20"/>
    </w:rPr>
  </w:style>
  <w:style w:type="character" w:customStyle="1" w:styleId="CommentTextChar">
    <w:name w:val="Comment Text Char"/>
    <w:basedOn w:val="DefaultParagraphFont"/>
    <w:link w:val="CommentText"/>
    <w:uiPriority w:val="99"/>
    <w:rsid w:val="006748BA"/>
    <w:rPr>
      <w:rFonts w:eastAsiaTheme="minorEastAsia"/>
      <w:sz w:val="20"/>
      <w:szCs w:val="20"/>
    </w:rPr>
  </w:style>
  <w:style w:type="character" w:styleId="CommentReference">
    <w:name w:val="annotation reference"/>
    <w:basedOn w:val="DefaultParagraphFont"/>
    <w:uiPriority w:val="99"/>
    <w:semiHidden/>
    <w:unhideWhenUsed/>
    <w:rsid w:val="006748BA"/>
    <w:rPr>
      <w:sz w:val="16"/>
      <w:szCs w:val="16"/>
    </w:rPr>
  </w:style>
  <w:style w:type="paragraph" w:styleId="CommentSubject">
    <w:name w:val="annotation subject"/>
    <w:basedOn w:val="CommentText"/>
    <w:next w:val="CommentText"/>
    <w:link w:val="CommentSubjectChar"/>
    <w:uiPriority w:val="99"/>
    <w:semiHidden/>
    <w:unhideWhenUsed/>
    <w:rsid w:val="002E221D"/>
    <w:rPr>
      <w:b/>
      <w:bCs/>
    </w:rPr>
  </w:style>
  <w:style w:type="character" w:customStyle="1" w:styleId="CommentSubjectChar">
    <w:name w:val="Comment Subject Char"/>
    <w:basedOn w:val="CommentTextChar"/>
    <w:link w:val="CommentSubject"/>
    <w:uiPriority w:val="99"/>
    <w:semiHidden/>
    <w:rsid w:val="002E221D"/>
    <w:rPr>
      <w:rFonts w:eastAsiaTheme="minorEastAsia"/>
      <w:b/>
      <w:bCs/>
      <w:sz w:val="20"/>
      <w:szCs w:val="20"/>
    </w:rPr>
  </w:style>
  <w:style w:type="paragraph" w:styleId="ListParagraph">
    <w:name w:val="List Paragraph"/>
    <w:basedOn w:val="Normal"/>
    <w:uiPriority w:val="34"/>
    <w:qFormat/>
    <w:rsid w:val="00A93171"/>
    <w:pPr>
      <w:ind w:left="720"/>
      <w:contextualSpacing/>
    </w:pPr>
  </w:style>
  <w:style w:type="character" w:styleId="Hyperlink">
    <w:name w:val="Hyperlink"/>
    <w:basedOn w:val="DefaultParagraphFont"/>
    <w:uiPriority w:val="99"/>
    <w:unhideWhenUsed/>
    <w:rsid w:val="00332091"/>
    <w:rPr>
      <w:color w:val="0563C1" w:themeColor="hyperlink"/>
      <w:u w:val="single"/>
    </w:rPr>
  </w:style>
  <w:style w:type="character" w:styleId="UnresolvedMention">
    <w:name w:val="Unresolved Mention"/>
    <w:basedOn w:val="DefaultParagraphFont"/>
    <w:uiPriority w:val="99"/>
    <w:semiHidden/>
    <w:unhideWhenUsed/>
    <w:rsid w:val="00332091"/>
    <w:rPr>
      <w:color w:val="605E5C"/>
      <w:shd w:val="clear" w:color="auto" w:fill="E1DFDD"/>
    </w:rPr>
  </w:style>
  <w:style w:type="character" w:styleId="FollowedHyperlink">
    <w:name w:val="FollowedHyperlink"/>
    <w:basedOn w:val="DefaultParagraphFont"/>
    <w:uiPriority w:val="99"/>
    <w:semiHidden/>
    <w:unhideWhenUsed/>
    <w:rsid w:val="00331DA2"/>
    <w:rPr>
      <w:color w:val="954F72" w:themeColor="followedHyperlink"/>
      <w:u w:val="single"/>
    </w:rPr>
  </w:style>
  <w:style w:type="paragraph" w:customStyle="1" w:styleId="p1">
    <w:name w:val="p1"/>
    <w:basedOn w:val="Normal"/>
    <w:rsid w:val="00452F29"/>
    <w:rPr>
      <w:rFonts w:ascii=".AppleSystemUIFont" w:eastAsia="Times New Roman" w:hAnsi=".AppleSystemUIFont" w:cs="Times New Roman"/>
      <w:color w:val="1F2225"/>
      <w:kern w:val="0"/>
      <w:sz w:val="23"/>
      <w:szCs w:val="23"/>
      <w14:ligatures w14:val="none"/>
    </w:rPr>
  </w:style>
  <w:style w:type="character" w:customStyle="1" w:styleId="s1">
    <w:name w:val="s1"/>
    <w:basedOn w:val="DefaultParagraphFont"/>
    <w:rsid w:val="00452F29"/>
    <w:rPr>
      <w:rFonts w:ascii="Helvetica" w:hAnsi="Helvetica" w:hint="default"/>
      <w:b w:val="0"/>
      <w:bCs w:val="0"/>
      <w:i w:val="0"/>
      <w:iCs w:val="0"/>
      <w:color w:val="000000"/>
      <w:sz w:val="18"/>
      <w:szCs w:val="18"/>
    </w:rPr>
  </w:style>
  <w:style w:type="character" w:customStyle="1" w:styleId="s2">
    <w:name w:val="s2"/>
    <w:basedOn w:val="DefaultParagraphFont"/>
    <w:rsid w:val="00452F29"/>
    <w:rPr>
      <w:rFonts w:ascii=".SFNS-Regular" w:hAnsi=".SFNS-Regular" w:hint="default"/>
      <w:b w:val="0"/>
      <w:bCs w:val="0"/>
      <w:i w:val="0"/>
      <w:iCs w:val="0"/>
      <w:sz w:val="23"/>
      <w:szCs w:val="23"/>
    </w:rPr>
  </w:style>
  <w:style w:type="character" w:customStyle="1" w:styleId="apple-tab-span">
    <w:name w:val="apple-tab-span"/>
    <w:basedOn w:val="DefaultParagraphFont"/>
    <w:rsid w:val="00452F29"/>
  </w:style>
  <w:style w:type="character" w:customStyle="1" w:styleId="Heading1Char">
    <w:name w:val="Heading 1 Char"/>
    <w:basedOn w:val="DefaultParagraphFont"/>
    <w:link w:val="Heading1"/>
    <w:uiPriority w:val="9"/>
    <w:rsid w:val="00247DFD"/>
    <w:rPr>
      <w:rFonts w:ascii="Nunito Sans" w:eastAsiaTheme="majorEastAsia" w:hAnsi="Nunito Sans" w:cstheme="majorBidi"/>
      <w:b/>
      <w:bCs/>
      <w:color w:val="000000" w:themeColor="text1"/>
      <w:sz w:val="30"/>
      <w:szCs w:val="30"/>
    </w:rPr>
  </w:style>
  <w:style w:type="character" w:customStyle="1" w:styleId="Heading2Char">
    <w:name w:val="Heading 2 Char"/>
    <w:basedOn w:val="DefaultParagraphFont"/>
    <w:link w:val="Heading2"/>
    <w:uiPriority w:val="9"/>
    <w:rsid w:val="00141818"/>
    <w:rPr>
      <w:rFonts w:ascii="Nunito Sans SemiBold" w:eastAsiaTheme="majorEastAsia" w:hAnsi="Nunito Sans SemiBold" w:cstheme="majorBidi"/>
      <w:b/>
      <w:bCs/>
      <w:color w:val="FFFFFF" w:themeColor="background1"/>
      <w:sz w:val="26"/>
      <w:szCs w:val="26"/>
    </w:rPr>
  </w:style>
  <w:style w:type="character" w:customStyle="1" w:styleId="Heading3Char">
    <w:name w:val="Heading 3 Char"/>
    <w:basedOn w:val="DefaultParagraphFont"/>
    <w:link w:val="Heading3"/>
    <w:uiPriority w:val="9"/>
    <w:rsid w:val="007C294F"/>
    <w:rPr>
      <w:rFonts w:ascii="Nunito Sans SemiBold" w:eastAsiaTheme="majorEastAsia" w:hAnsi="Nunito Sans SemiBold" w:cstheme="majorBidi"/>
      <w:b/>
      <w:bCs/>
      <w:color w:val="000000" w:themeColor="text1"/>
    </w:rPr>
  </w:style>
  <w:style w:type="character" w:styleId="Strong">
    <w:name w:val="Strong"/>
    <w:basedOn w:val="DefaultParagraphFont"/>
    <w:uiPriority w:val="22"/>
    <w:qFormat/>
    <w:rsid w:val="007C294F"/>
    <w:rPr>
      <w:rFonts w:ascii="Nunito Sans SemiBold" w:hAnsi="Nunito Sans SemiBold"/>
      <w:b/>
      <w:bCs/>
    </w:rPr>
  </w:style>
  <w:style w:type="paragraph" w:customStyle="1" w:styleId="Bullets">
    <w:name w:val="Bullets"/>
    <w:basedOn w:val="p1"/>
    <w:qFormat/>
    <w:rsid w:val="007C294F"/>
    <w:pPr>
      <w:numPr>
        <w:numId w:val="7"/>
      </w:numPr>
      <w:spacing w:before="60" w:after="0"/>
    </w:pPr>
    <w:rPr>
      <w:rFonts w:ascii="Nunito Sans Light" w:eastAsiaTheme="minorEastAsia" w:hAnsi="Nunito Sans Light"/>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8789752">
      <w:bodyDiv w:val="1"/>
      <w:marLeft w:val="0"/>
      <w:marRight w:val="0"/>
      <w:marTop w:val="0"/>
      <w:marBottom w:val="0"/>
      <w:divBdr>
        <w:top w:val="none" w:sz="0" w:space="0" w:color="auto"/>
        <w:left w:val="none" w:sz="0" w:space="0" w:color="auto"/>
        <w:bottom w:val="none" w:sz="0" w:space="0" w:color="auto"/>
        <w:right w:val="none" w:sz="0" w:space="0" w:color="auto"/>
      </w:divBdr>
    </w:div>
    <w:div w:id="185653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help.blackboard.com/Learn/Instructor/Ultra/Course_Content/Create_Content" TargetMode="External"/><Relationship Id="rId18" Type="http://schemas.openxmlformats.org/officeDocument/2006/relationships/hyperlink" Target="https://help.blackboard.com/Learn/Instructor/Ultra/Courses/Course_Banner" TargetMode="External"/><Relationship Id="rId3" Type="http://schemas.openxmlformats.org/officeDocument/2006/relationships/settings" Target="settings.xml"/><Relationship Id="rId21" Type="http://schemas.openxmlformats.org/officeDocument/2006/relationships/hyperlink" Target="https://help.blackboard.com/Learn/Instructor/Ultra/Course_Content/Ultra_Batch_Edit" TargetMode="External"/><Relationship Id="rId7" Type="http://schemas.openxmlformats.org/officeDocument/2006/relationships/image" Target="media/image3.png"/><Relationship Id="rId12" Type="http://schemas.openxmlformats.org/officeDocument/2006/relationships/hyperlink" Target="https://help.blackboard.com/Learn/Instructor/Ultra/Courses/Student_Preview" TargetMode="External"/><Relationship Id="rId17" Type="http://schemas.openxmlformats.org/officeDocument/2006/relationships/hyperlink" Target="https://help.blackboard.com/Learn/Instructor/Ultra/Interact/Ultra_Conversation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help.blackboard.com/Learn/Instructor/Ultra/Course_Content/Course_Files/Add_Files_to_Course_Files/Create_HTML_Objects" TargetMode="External"/><Relationship Id="rId20" Type="http://schemas.openxmlformats.org/officeDocument/2006/relationships/hyperlink" Target="https://help.blackboard.com/Learn/Instructor/Ultra/Grade/Grading_Tasks/Assign_Grades"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help.blackboard.com/Learn/Instructor/Ultra/Grade/Attendance"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help.blackboard.com/Learn/Administrator/SaaS/Integrations/Learning_Tools_Interoperability" TargetMode="External"/><Relationship Id="rId23" Type="http://schemas.openxmlformats.org/officeDocument/2006/relationships/hyperlink" Target="https://help.blackboard.com/Learn/Instructor/Ultra/Interact/Roster" TargetMode="External"/><Relationship Id="rId10" Type="http://schemas.openxmlformats.org/officeDocument/2006/relationships/hyperlink" Target="https://help.blackboard.com/Learn/Instructor/Ultra/Interact/Announcements" TargetMode="External"/><Relationship Id="rId19" Type="http://schemas.openxmlformats.org/officeDocument/2006/relationships/hyperlink" Target="https://help.blackboard.com/Learn/Instructor/Ultra/Grade/Grade_Columns" TargetMode="External"/><Relationship Id="rId4" Type="http://schemas.openxmlformats.org/officeDocument/2006/relationships/webSettings" Target="webSettings.xml"/><Relationship Id="rId9" Type="http://schemas.openxmlformats.org/officeDocument/2006/relationships/hyperlink" Target="https://help.blackboard.com/Learn/Instructor/Ultra/Performance/Course_Reports/Course_Activity_Related_to_Grades" TargetMode="External"/><Relationship Id="rId14" Type="http://schemas.openxmlformats.org/officeDocument/2006/relationships/hyperlink" Target="https://help.blackboard.com/Learn/Instructor/Ultra/Course_Content/Create_Content/Create_Containers_for_Content/Create_Learning_Modules" TargetMode="External"/><Relationship Id="rId22" Type="http://schemas.openxmlformats.org/officeDocument/2006/relationships/hyperlink" Target="https://help.blackboard.com/Learn/Instructor/Ultra/Interact/Ros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2186</Words>
  <Characters>12461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Webb</dc:creator>
  <cp:keywords/>
  <dc:description/>
  <cp:lastModifiedBy>Glenn R Curtis</cp:lastModifiedBy>
  <cp:revision>2</cp:revision>
  <cp:lastPrinted>2023-06-23T13:15:00Z</cp:lastPrinted>
  <dcterms:created xsi:type="dcterms:W3CDTF">2024-09-05T11:39:00Z</dcterms:created>
  <dcterms:modified xsi:type="dcterms:W3CDTF">2024-09-05T11:39:00Z</dcterms:modified>
</cp:coreProperties>
</file>